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val="0"/>
        <w:overflowPunct w:val="0"/>
        <w:topLinePunct/>
        <w:autoSpaceDE/>
        <w:autoSpaceDN/>
        <w:bidi w:val="0"/>
        <w:adjustRightInd/>
        <w:snapToGrid/>
        <w:spacing w:line="600" w:lineRule="exact"/>
        <w:ind w:left="0" w:right="0"/>
        <w:jc w:val="center"/>
        <w:textAlignment w:val="baseline"/>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关于进一步深化电信基础设施共建共享</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促进“双千兆”网络高质量</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发展工作方案</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为深入推进湖北省电信基础设施共建共享，推动“</w:t>
      </w:r>
      <w:r>
        <w:rPr>
          <w:rFonts w:hint="eastAsia" w:ascii="仿宋_GB2312" w:hAnsi="仿宋_GB2312" w:eastAsia="仿宋_GB2312" w:cs="仿宋_GB2312"/>
          <w:spacing w:val="4"/>
          <w:sz w:val="32"/>
          <w:szCs w:val="32"/>
          <w:highlight w:val="none"/>
        </w:rPr>
        <w:t>双千</w:t>
      </w:r>
      <w:r>
        <w:rPr>
          <w:rFonts w:hint="eastAsia" w:ascii="仿宋_GB2312" w:hAnsi="仿宋_GB2312" w:eastAsia="仿宋_GB2312" w:cs="仿宋_GB2312"/>
          <w:spacing w:val="4"/>
          <w:sz w:val="32"/>
          <w:szCs w:val="32"/>
          <w:highlight w:val="none"/>
          <w:lang w:eastAsia="zh-CN"/>
        </w:rPr>
        <w:t>兆</w:t>
      </w:r>
      <w:r>
        <w:rPr>
          <w:rFonts w:hint="eastAsia" w:ascii="仿宋_GB2312" w:hAnsi="仿宋_GB2312" w:eastAsia="仿宋_GB2312" w:cs="仿宋_GB2312"/>
          <w:spacing w:val="4"/>
          <w:sz w:val="32"/>
          <w:szCs w:val="32"/>
          <w:highlight w:val="none"/>
        </w:rPr>
        <w:t>”</w:t>
      </w:r>
      <w:r>
        <w:rPr>
          <w:rFonts w:hint="eastAsia" w:ascii="仿宋_GB2312" w:hAnsi="仿宋_GB2312" w:eastAsia="仿宋_GB2312" w:cs="仿宋_GB2312"/>
          <w:spacing w:val="-6"/>
          <w:sz w:val="32"/>
          <w:szCs w:val="32"/>
          <w:highlight w:val="none"/>
        </w:rPr>
        <w:t>网络高质量发展，持续夯实我省数字经济发展底座，全力打造全</w:t>
      </w:r>
      <w:r>
        <w:rPr>
          <w:rFonts w:hint="eastAsia" w:ascii="仿宋_GB2312" w:hAnsi="仿宋_GB2312" w:eastAsia="仿宋_GB2312" w:cs="仿宋_GB2312"/>
          <w:spacing w:val="-4"/>
          <w:sz w:val="32"/>
          <w:szCs w:val="32"/>
          <w:highlight w:val="none"/>
        </w:rPr>
        <w:t>国数字经济发展高地，根据《工业和信息化部等十四部门</w:t>
      </w:r>
      <w:r>
        <w:rPr>
          <w:rFonts w:hint="eastAsia" w:ascii="仿宋_GB2312" w:hAnsi="仿宋_GB2312" w:eastAsia="仿宋_GB2312" w:cs="仿宋_GB2312"/>
          <w:spacing w:val="5"/>
          <w:sz w:val="32"/>
          <w:szCs w:val="32"/>
          <w:highlight w:val="none"/>
        </w:rPr>
        <w:t>关于进一步深化电信基础设施共建共享</w:t>
      </w:r>
      <w:r>
        <w:rPr>
          <w:rFonts w:hint="eastAsia" w:ascii="仿宋_GB2312" w:hAnsi="仿宋_GB2312" w:eastAsia="仿宋_GB2312" w:cs="仿宋_GB2312"/>
          <w:spacing w:val="5"/>
          <w:sz w:val="32"/>
          <w:szCs w:val="32"/>
          <w:highlight w:val="none"/>
          <w:lang w:val="en-US" w:eastAsia="zh-CN"/>
        </w:rPr>
        <w:t xml:space="preserve"> </w:t>
      </w:r>
      <w:r>
        <w:rPr>
          <w:rFonts w:hint="eastAsia" w:ascii="仿宋_GB2312" w:hAnsi="仿宋_GB2312" w:eastAsia="仿宋_GB2312" w:cs="仿宋_GB2312"/>
          <w:spacing w:val="5"/>
          <w:sz w:val="32"/>
          <w:szCs w:val="32"/>
          <w:highlight w:val="none"/>
        </w:rPr>
        <w:t>促进“双千兆”网络高质量发展的实施意见》</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工信部联通信〔2023〕59号，以下简称《实施意见》</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文件精神和要求，研究制定本方案。</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黑体" w:hAnsi="黑体" w:eastAsia="黑体" w:cs="黑体"/>
          <w:spacing w:val="5"/>
          <w:sz w:val="32"/>
          <w:szCs w:val="32"/>
          <w:highlight w:val="none"/>
        </w:rPr>
      </w:pPr>
      <w:r>
        <w:rPr>
          <w:rFonts w:hint="eastAsia" w:ascii="黑体" w:hAnsi="黑体" w:eastAsia="黑体" w:cs="黑体"/>
          <w:spacing w:val="5"/>
          <w:sz w:val="32"/>
          <w:szCs w:val="32"/>
          <w:highlight w:val="none"/>
        </w:rPr>
        <w:t>一、工作目标</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以习近平新时代中国特色社会主义思想为指导，全面贯彻党的二十大精神，深入贯彻落实习近平总书记关于网络强国的重要思想和对湖北工作的重要指示精神，落实全面节约战略，</w:t>
      </w:r>
      <w:r>
        <w:rPr>
          <w:rFonts w:hint="eastAsia" w:ascii="仿宋_GB2312" w:hAnsi="仿宋_GB2312" w:eastAsia="仿宋_GB2312" w:cs="仿宋_GB2312"/>
          <w:spacing w:val="5"/>
          <w:sz w:val="32"/>
          <w:szCs w:val="32"/>
          <w:highlight w:val="none"/>
          <w:lang w:eastAsia="zh-CN"/>
        </w:rPr>
        <w:t>贯彻</w:t>
      </w:r>
      <w:r>
        <w:rPr>
          <w:rFonts w:hint="eastAsia" w:ascii="仿宋_GB2312" w:hAnsi="仿宋_GB2312" w:eastAsia="仿宋_GB2312" w:cs="仿宋_GB2312"/>
          <w:spacing w:val="5"/>
          <w:sz w:val="32"/>
          <w:szCs w:val="32"/>
          <w:highlight w:val="none"/>
        </w:rPr>
        <w:t>落实《实施意见》的精神和要求，持续提升电信基础设施共建共享水平，促进5G、千兆光网等“双千兆”网络高质量发展，更高效发挥“双千兆”网络基础支撑和融合赋能作用，为湖北加快建设全国数字经济发展高地，建设全国构建新发展格局先行区提供有力支撑。到2025年，全省电信基础设施共建共享工作机制不断完善</w:t>
      </w:r>
      <w:r>
        <w:rPr>
          <w:rFonts w:hint="eastAsia" w:ascii="仿宋_GB2312" w:hAnsi="仿宋_GB2312" w:eastAsia="仿宋_GB2312" w:cs="仿宋_GB2312"/>
          <w:spacing w:val="5"/>
          <w:sz w:val="32"/>
          <w:szCs w:val="32"/>
          <w:highlight w:val="none"/>
          <w:lang w:val="en-US" w:eastAsia="zh-CN"/>
        </w:rPr>
        <w:t>,</w:t>
      </w:r>
      <w:r>
        <w:rPr>
          <w:rFonts w:hint="eastAsia" w:ascii="仿宋_GB2312" w:hAnsi="仿宋_GB2312" w:eastAsia="仿宋_GB2312" w:cs="仿宋_GB2312"/>
          <w:spacing w:val="5"/>
          <w:sz w:val="32"/>
          <w:szCs w:val="32"/>
          <w:highlight w:val="none"/>
        </w:rPr>
        <w:t>“双千兆”网络建设环境进一步优化，农村杆线梳理取得积极进展，跨行业共建共享深化拓展，数字化手段保障有力，电信基础设施共建共享水平稳步提升，有效节约社会资源。</w:t>
      </w:r>
    </w:p>
    <w:p>
      <w:pPr>
        <w:keepNext w:val="0"/>
        <w:keepLines w:val="0"/>
        <w:pageBreakBefore w:val="0"/>
        <w:widowControl w:val="0"/>
        <w:kinsoku/>
        <w:wordWrap/>
        <w:overflowPunct w:val="0"/>
        <w:topLinePunct/>
        <w:autoSpaceDE/>
        <w:autoSpaceDN/>
        <w:bidi w:val="0"/>
        <w:adjustRightInd/>
        <w:snapToGrid/>
        <w:spacing w:line="240" w:lineRule="auto"/>
        <w:ind w:left="0" w:right="0" w:firstLine="652" w:firstLineChars="200"/>
        <w:jc w:val="both"/>
        <w:textAlignment w:val="baseline"/>
        <w:outlineLvl w:val="9"/>
        <w:rPr>
          <w:rFonts w:hint="eastAsia" w:ascii="仿宋_GB2312" w:hAnsi="仿宋_GB2312" w:eastAsia="仿宋_GB2312" w:cs="仿宋_GB2312"/>
          <w:snapToGrid/>
          <w:spacing w:val="0"/>
          <w:kern w:val="0"/>
          <w:sz w:val="32"/>
          <w:szCs w:val="32"/>
          <w:highlight w:val="none"/>
        </w:rPr>
      </w:pPr>
      <w:r>
        <w:rPr>
          <w:rFonts w:hint="eastAsia" w:ascii="仿宋_GB2312" w:hAnsi="仿宋_GB2312" w:eastAsia="仿宋_GB2312" w:cs="仿宋_GB2312"/>
          <w:snapToGrid/>
          <w:spacing w:val="0"/>
          <w:w w:val="102"/>
          <w:kern w:val="0"/>
          <w:sz w:val="32"/>
          <w:szCs w:val="32"/>
          <w:highlight w:val="none"/>
          <w:lang w:eastAsia="zh-CN"/>
        </w:rPr>
        <w:t>（一）</w:t>
      </w:r>
      <w:r>
        <w:rPr>
          <w:rFonts w:hint="eastAsia" w:ascii="仿宋_GB2312" w:hAnsi="仿宋_GB2312" w:eastAsia="仿宋_GB2312" w:cs="仿宋_GB2312"/>
          <w:snapToGrid/>
          <w:spacing w:val="0"/>
          <w:w w:val="102"/>
          <w:kern w:val="0"/>
          <w:sz w:val="32"/>
          <w:szCs w:val="32"/>
          <w:highlight w:val="none"/>
        </w:rPr>
        <w:t>到2025年底，各市、州、直管市、林区</w:t>
      </w:r>
      <w:r>
        <w:rPr>
          <w:rFonts w:hint="eastAsia" w:ascii="仿宋_GB2312" w:hAnsi="仿宋_GB2312" w:eastAsia="仿宋_GB2312" w:cs="仿宋_GB2312"/>
          <w:snapToGrid/>
          <w:spacing w:val="0"/>
          <w:w w:val="102"/>
          <w:kern w:val="0"/>
          <w:sz w:val="32"/>
          <w:szCs w:val="32"/>
          <w:highlight w:val="none"/>
          <w:lang w:eastAsia="zh-CN"/>
        </w:rPr>
        <w:t>（</w:t>
      </w:r>
      <w:r>
        <w:rPr>
          <w:rFonts w:hint="eastAsia" w:ascii="仿宋_GB2312" w:hAnsi="仿宋_GB2312" w:eastAsia="仿宋_GB2312" w:cs="仿宋_GB2312"/>
          <w:snapToGrid/>
          <w:spacing w:val="0"/>
          <w:w w:val="102"/>
          <w:kern w:val="0"/>
          <w:sz w:val="32"/>
          <w:szCs w:val="32"/>
          <w:highlight w:val="none"/>
        </w:rPr>
        <w:t>以下简称</w:t>
      </w:r>
      <w:r>
        <w:rPr>
          <w:rFonts w:hint="eastAsia" w:ascii="仿宋_GB2312" w:hAnsi="仿宋_GB2312" w:eastAsia="仿宋_GB2312" w:cs="仿宋_GB2312"/>
          <w:snapToGrid/>
          <w:spacing w:val="0"/>
          <w:w w:val="101"/>
          <w:kern w:val="0"/>
          <w:sz w:val="32"/>
          <w:szCs w:val="32"/>
          <w:highlight w:val="none"/>
        </w:rPr>
        <w:t>“市</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州</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推动重点场所清单中95%以上实现5G 网络共同进</w:t>
      </w:r>
      <w:r>
        <w:rPr>
          <w:rFonts w:hint="eastAsia" w:ascii="仿宋_GB2312" w:hAnsi="仿宋_GB2312" w:eastAsia="仿宋_GB2312" w:cs="仿宋_GB2312"/>
          <w:snapToGrid/>
          <w:spacing w:val="0"/>
          <w:kern w:val="0"/>
          <w:sz w:val="32"/>
          <w:szCs w:val="32"/>
          <w:highlight w:val="none"/>
        </w:rPr>
        <w:t>入，保障5G信号室外连续覆盖、室内优化覆盖，有效提升电梯间、地下室等特殊区域覆盖水平。</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46" w:firstLineChars="200"/>
        <w:jc w:val="both"/>
        <w:textAlignment w:val="baseline"/>
        <w:outlineLvl w:val="9"/>
        <w:rPr>
          <w:rFonts w:hint="eastAsia" w:ascii="仿宋_GB2312" w:hAnsi="仿宋_GB2312" w:eastAsia="仿宋_GB2312" w:cs="仿宋_GB2312"/>
          <w:snapToGrid/>
          <w:spacing w:val="0"/>
          <w:kern w:val="0"/>
          <w:sz w:val="32"/>
          <w:szCs w:val="32"/>
          <w:highlight w:val="none"/>
        </w:rPr>
      </w:pP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二</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到2025年底，各市</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州</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推动住宅区和住宅建筑、商</w:t>
      </w:r>
      <w:r>
        <w:rPr>
          <w:rFonts w:hint="eastAsia" w:ascii="仿宋_GB2312" w:hAnsi="仿宋_GB2312" w:eastAsia="仿宋_GB2312" w:cs="仿宋_GB2312"/>
          <w:snapToGrid/>
          <w:spacing w:val="0"/>
          <w:kern w:val="0"/>
          <w:sz w:val="32"/>
          <w:szCs w:val="32"/>
          <w:highlight w:val="none"/>
        </w:rPr>
        <w:t>务楼宇清单中95%以上实现所有提出接入需求的基础电信运营企业宽带网络共同进入(两家及以上),大幅提升千兆光网覆盖水平。</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46" w:firstLineChars="200"/>
        <w:jc w:val="both"/>
        <w:textAlignment w:val="baseline"/>
        <w:outlineLvl w:val="9"/>
        <w:rPr>
          <w:rFonts w:hint="eastAsia" w:ascii="仿宋_GB2312" w:hAnsi="仿宋_GB2312" w:eastAsia="仿宋_GB2312" w:cs="仿宋_GB2312"/>
          <w:snapToGrid/>
          <w:spacing w:val="0"/>
          <w:kern w:val="0"/>
          <w:sz w:val="32"/>
          <w:szCs w:val="32"/>
          <w:highlight w:val="none"/>
        </w:rPr>
      </w:pP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三</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到2025年底，各市</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州</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建立完善农村电信基础设施</w:t>
      </w:r>
      <w:r>
        <w:rPr>
          <w:rFonts w:hint="eastAsia" w:ascii="仿宋_GB2312" w:hAnsi="仿宋_GB2312" w:eastAsia="仿宋_GB2312" w:cs="仿宋_GB2312"/>
          <w:snapToGrid/>
          <w:spacing w:val="0"/>
          <w:kern w:val="0"/>
          <w:sz w:val="32"/>
          <w:szCs w:val="32"/>
          <w:highlight w:val="none"/>
        </w:rPr>
        <w:t>共建共享共维机制，每年清理并完成一批行政村通信线路违规搭挂整治，打造一批农村杆线规范建设的标杆，形成示范效应。</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46" w:firstLineChars="200"/>
        <w:jc w:val="both"/>
        <w:textAlignment w:val="baseline"/>
        <w:outlineLvl w:val="9"/>
        <w:rPr>
          <w:rFonts w:hint="eastAsia" w:ascii="仿宋_GB2312" w:hAnsi="仿宋_GB2312" w:eastAsia="仿宋_GB2312" w:cs="仿宋_GB2312"/>
          <w:snapToGrid/>
          <w:spacing w:val="0"/>
          <w:kern w:val="0"/>
          <w:sz w:val="32"/>
          <w:szCs w:val="32"/>
          <w:highlight w:val="none"/>
        </w:rPr>
      </w:pP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四</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到2025年底，各市</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州</w:t>
      </w:r>
      <w:r>
        <w:rPr>
          <w:rFonts w:hint="eastAsia" w:ascii="仿宋_GB2312" w:hAnsi="仿宋_GB2312" w:eastAsia="仿宋_GB2312" w:cs="仿宋_GB2312"/>
          <w:snapToGrid/>
          <w:spacing w:val="0"/>
          <w:w w:val="101"/>
          <w:kern w:val="0"/>
          <w:sz w:val="32"/>
          <w:szCs w:val="32"/>
          <w:highlight w:val="none"/>
          <w:lang w:eastAsia="zh-CN"/>
        </w:rPr>
        <w:t>）</w:t>
      </w:r>
      <w:r>
        <w:rPr>
          <w:rFonts w:hint="eastAsia" w:ascii="仿宋_GB2312" w:hAnsi="仿宋_GB2312" w:eastAsia="仿宋_GB2312" w:cs="仿宋_GB2312"/>
          <w:snapToGrid/>
          <w:spacing w:val="0"/>
          <w:w w:val="101"/>
          <w:kern w:val="0"/>
          <w:sz w:val="32"/>
          <w:szCs w:val="32"/>
          <w:highlight w:val="none"/>
        </w:rPr>
        <w:t>逐年提高跨行业基础设施资</w:t>
      </w:r>
      <w:r>
        <w:rPr>
          <w:rFonts w:hint="eastAsia" w:ascii="仿宋_GB2312" w:hAnsi="仿宋_GB2312" w:eastAsia="仿宋_GB2312" w:cs="仿宋_GB2312"/>
          <w:snapToGrid/>
          <w:spacing w:val="0"/>
          <w:kern w:val="0"/>
          <w:sz w:val="32"/>
          <w:szCs w:val="32"/>
          <w:highlight w:val="none"/>
        </w:rPr>
        <w:t>源共享需求清单中的共享需求满足率，形成跨行业电信基础设施共建共享典型案例并公开发布。</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黑体" w:hAnsi="黑体" w:eastAsia="黑体" w:cs="黑体"/>
          <w:spacing w:val="5"/>
          <w:sz w:val="32"/>
          <w:szCs w:val="32"/>
          <w:highlight w:val="none"/>
        </w:rPr>
      </w:pPr>
      <w:r>
        <w:rPr>
          <w:rFonts w:hint="eastAsia" w:ascii="黑体" w:hAnsi="黑体" w:eastAsia="黑体" w:cs="黑体"/>
          <w:spacing w:val="5"/>
          <w:sz w:val="32"/>
          <w:szCs w:val="32"/>
          <w:highlight w:val="none"/>
          <w:lang w:eastAsia="zh-CN"/>
        </w:rPr>
        <w:t>二、</w:t>
      </w:r>
      <w:r>
        <w:rPr>
          <w:rFonts w:hint="eastAsia" w:ascii="黑体" w:hAnsi="黑体" w:eastAsia="黑体" w:cs="黑体"/>
          <w:spacing w:val="5"/>
          <w:sz w:val="32"/>
          <w:szCs w:val="32"/>
          <w:highlight w:val="none"/>
        </w:rPr>
        <w:t>主要任务</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楷体_GB2312" w:hAnsi="楷体_GB2312" w:eastAsia="楷体_GB2312" w:cs="楷体_GB2312"/>
          <w:spacing w:val="5"/>
          <w:sz w:val="32"/>
          <w:szCs w:val="32"/>
          <w:highlight w:val="none"/>
        </w:rPr>
      </w:pPr>
      <w:r>
        <w:rPr>
          <w:rFonts w:hint="eastAsia" w:ascii="楷体_GB2312" w:hAnsi="楷体_GB2312" w:eastAsia="楷体_GB2312" w:cs="楷体_GB2312"/>
          <w:spacing w:val="5"/>
          <w:sz w:val="32"/>
          <w:szCs w:val="32"/>
          <w:highlight w:val="none"/>
          <w:lang w:eastAsia="zh-CN"/>
        </w:rPr>
        <w:t>（一）</w:t>
      </w:r>
      <w:r>
        <w:rPr>
          <w:rFonts w:hint="eastAsia" w:ascii="楷体_GB2312" w:hAnsi="楷体_GB2312" w:eastAsia="楷体_GB2312" w:cs="楷体_GB2312"/>
          <w:spacing w:val="5"/>
          <w:sz w:val="32"/>
          <w:szCs w:val="32"/>
          <w:highlight w:val="none"/>
        </w:rPr>
        <w:t>强化规划和标准引领，推进通信基础设施专项规划和工</w:t>
      </w:r>
      <w:r>
        <w:rPr>
          <w:rFonts w:hint="eastAsia" w:ascii="楷体_GB2312" w:hAnsi="楷体_GB2312" w:eastAsia="楷体_GB2312" w:cs="楷体_GB2312"/>
          <w:spacing w:val="5"/>
          <w:sz w:val="32"/>
          <w:szCs w:val="32"/>
          <w:highlight w:val="none"/>
          <w:lang w:eastAsia="zh-CN"/>
        </w:rPr>
        <w:t>程</w:t>
      </w:r>
      <w:r>
        <w:rPr>
          <w:rFonts w:hint="eastAsia" w:ascii="楷体_GB2312" w:hAnsi="楷体_GB2312" w:eastAsia="楷体_GB2312" w:cs="楷体_GB2312"/>
          <w:spacing w:val="5"/>
          <w:sz w:val="32"/>
          <w:szCs w:val="32"/>
          <w:highlight w:val="none"/>
        </w:rPr>
        <w:t>标准的落实</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自然资源主管部门在编制国土空间规划中，要统筹做好电信等基础设施建设的空间安排。通信基础设施专项规划要加强与国土空间规划的衔接及“一张图”的核对，规划经批复后及时纳入同级国土空间基础信息平台、叠加到国土空间规划“一张图”。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自然资源主管部门在编制控制性详细规划时，要深化通信基础设施专项规划确定的通信基础设施用地布局，将5G基站站址、机房及通信管线等设施配建要求在控制性详细规划中予以明确，列入土地出让的规划条件。</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自然资源与规划</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w:t>
      </w:r>
      <w:r>
        <w:rPr>
          <w:rFonts w:hint="eastAsia" w:ascii="仿宋_GB2312" w:hAnsi="仿宋_GB2312" w:eastAsia="仿宋_GB2312" w:cs="仿宋_GB2312"/>
          <w:spacing w:val="5"/>
          <w:sz w:val="32"/>
          <w:szCs w:val="32"/>
          <w:highlight w:val="none"/>
          <w:lang w:eastAsia="zh-CN"/>
        </w:rPr>
        <w:t>发展</w:t>
      </w:r>
      <w:r>
        <w:rPr>
          <w:rFonts w:hint="eastAsia" w:ascii="仿宋_GB2312" w:hAnsi="仿宋_GB2312" w:eastAsia="仿宋_GB2312" w:cs="仿宋_GB2312"/>
          <w:spacing w:val="5"/>
          <w:sz w:val="32"/>
          <w:szCs w:val="32"/>
          <w:highlight w:val="none"/>
        </w:rPr>
        <w:t>管理</w:t>
      </w:r>
      <w:r>
        <w:rPr>
          <w:rFonts w:hint="eastAsia" w:ascii="仿宋_GB2312" w:hAnsi="仿宋_GB2312" w:eastAsia="仿宋_GB2312" w:cs="仿宋_GB2312"/>
          <w:spacing w:val="5"/>
          <w:sz w:val="32"/>
          <w:szCs w:val="32"/>
          <w:highlight w:val="none"/>
          <w:lang w:eastAsia="zh-CN"/>
        </w:rPr>
        <w:t>办公室</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通信行业共建共享管理办公室（以下简称“</w:t>
      </w:r>
      <w:r>
        <w:rPr>
          <w:rFonts w:hint="eastAsia" w:ascii="仿宋_GB2312" w:hAnsi="仿宋_GB2312" w:eastAsia="仿宋_GB2312" w:cs="仿宋_GB2312"/>
          <w:spacing w:val="5"/>
          <w:sz w:val="32"/>
          <w:szCs w:val="32"/>
          <w:highlight w:val="none"/>
        </w:rPr>
        <w:t>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）通信管理部门”），</w:t>
      </w:r>
      <w:r>
        <w:rPr>
          <w:rFonts w:hint="eastAsia" w:ascii="仿宋_GB2312" w:hAnsi="仿宋_GB2312" w:eastAsia="仿宋_GB2312" w:cs="仿宋_GB2312"/>
          <w:spacing w:val="5"/>
          <w:sz w:val="32"/>
          <w:szCs w:val="32"/>
          <w:highlight w:val="none"/>
        </w:rPr>
        <w:t>经信部门，基础电信运营企业、铁塔公司</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240" w:lineRule="auto"/>
        <w:ind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要积极协调当地相关主管部门和基础电信运营企业形成工作协同机制，严格落实《住宅区和住宅建筑内光纤到户通信设施工程设计规范》、《住宅区和住宅建筑内光纤到户通信设施工程施工及验收规范》、</w:t>
      </w:r>
      <w:r>
        <w:rPr>
          <w:rFonts w:hint="eastAsia" w:ascii="仿宋_GB2312" w:hAnsi="仿宋_GB2312" w:eastAsia="仿宋_GB2312" w:cs="仿宋_GB2312"/>
          <w:spacing w:val="5"/>
          <w:sz w:val="32"/>
          <w:szCs w:val="32"/>
          <w:highlight w:val="none"/>
          <w:lang w:eastAsia="zh-CN"/>
        </w:rPr>
        <w:t>《公共建筑光纤宽带接入工程技术标准》、</w:t>
      </w:r>
      <w:r>
        <w:rPr>
          <w:rFonts w:hint="eastAsia" w:ascii="仿宋_GB2312" w:hAnsi="仿宋_GB2312" w:eastAsia="仿宋_GB2312" w:cs="仿宋_GB2312"/>
          <w:spacing w:val="5"/>
          <w:sz w:val="32"/>
          <w:szCs w:val="32"/>
          <w:highlight w:val="none"/>
        </w:rPr>
        <w:t>《建筑物移动通信基础设施工程技术标准》等国家强制性标准建设和相关工程建设标准。对于新建住宅区和住宅建筑、商务楼宇、公共建筑的通信配套设施，不得</w:t>
      </w:r>
      <w:r>
        <w:rPr>
          <w:rFonts w:hint="eastAsia" w:ascii="仿宋_GB2312" w:hAnsi="仿宋_GB2312" w:eastAsia="仿宋_GB2312" w:cs="仿宋_GB2312"/>
          <w:spacing w:val="5"/>
          <w:sz w:val="32"/>
          <w:szCs w:val="32"/>
          <w:highlight w:val="none"/>
          <w:lang w:eastAsia="zh-CN"/>
        </w:rPr>
        <w:t>作</w:t>
      </w:r>
      <w:r>
        <w:rPr>
          <w:rFonts w:hint="eastAsia" w:ascii="仿宋_GB2312" w:hAnsi="仿宋_GB2312" w:eastAsia="仿宋_GB2312" w:cs="仿宋_GB2312"/>
          <w:spacing w:val="5"/>
          <w:sz w:val="32"/>
          <w:szCs w:val="32"/>
          <w:highlight w:val="none"/>
        </w:rPr>
        <w:t>为单独工程项目</w:t>
      </w:r>
      <w:r>
        <w:rPr>
          <w:rFonts w:hint="eastAsia" w:ascii="仿宋_GB2312" w:hAnsi="仿宋_GB2312" w:eastAsia="仿宋_GB2312" w:cs="仿宋_GB2312"/>
          <w:spacing w:val="5"/>
          <w:sz w:val="32"/>
          <w:szCs w:val="32"/>
          <w:highlight w:val="none"/>
          <w:lang w:eastAsia="zh-CN"/>
        </w:rPr>
        <w:t>由</w:t>
      </w:r>
      <w:r>
        <w:rPr>
          <w:rFonts w:hint="eastAsia" w:ascii="仿宋_GB2312" w:hAnsi="仿宋_GB2312" w:eastAsia="仿宋_GB2312" w:cs="仿宋_GB2312"/>
          <w:spacing w:val="5"/>
          <w:sz w:val="32"/>
          <w:szCs w:val="32"/>
          <w:highlight w:val="none"/>
        </w:rPr>
        <w:t>第三方公司进行投资建设</w:t>
      </w:r>
      <w:r>
        <w:rPr>
          <w:rFonts w:hint="eastAsia" w:ascii="仿宋_GB2312" w:hAnsi="仿宋_GB2312" w:eastAsia="仿宋_GB2312" w:cs="仿宋_GB2312"/>
          <w:spacing w:val="5"/>
          <w:sz w:val="32"/>
          <w:szCs w:val="32"/>
          <w:highlight w:val="none"/>
          <w:lang w:eastAsia="zh-CN"/>
        </w:rPr>
        <w:t>并</w:t>
      </w:r>
      <w:r>
        <w:rPr>
          <w:rFonts w:hint="eastAsia" w:ascii="仿宋_GB2312" w:hAnsi="仿宋_GB2312" w:eastAsia="仿宋_GB2312" w:cs="仿宋_GB2312"/>
          <w:spacing w:val="5"/>
          <w:sz w:val="32"/>
          <w:szCs w:val="32"/>
          <w:highlight w:val="none"/>
        </w:rPr>
        <w:t>经营获利</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建筑物建设单位严格遵守相关工程界面划分的规定，将通信配套设施纳入建设项目的设计文件，所需投资纳入建设项目概算，并随建设项目同步设计、同步验收，未按标准建设验收或验收不合格的，各地基础电信运营企业不得接入公用电信网，</w:t>
      </w:r>
      <w:r>
        <w:rPr>
          <w:rFonts w:hint="eastAsia" w:ascii="仿宋_GB2312" w:hAnsi="仿宋_GB2312" w:eastAsia="仿宋_GB2312" w:cs="仿宋_GB2312"/>
          <w:spacing w:val="5"/>
          <w:sz w:val="32"/>
          <w:szCs w:val="32"/>
          <w:highlight w:val="none"/>
          <w:lang w:eastAsia="zh-CN"/>
        </w:rPr>
        <w:t>并</w:t>
      </w:r>
      <w:r>
        <w:rPr>
          <w:rFonts w:hint="eastAsia" w:ascii="仿宋_GB2312" w:hAnsi="仿宋_GB2312" w:eastAsia="仿宋_GB2312" w:cs="仿宋_GB2312"/>
          <w:spacing w:val="5"/>
          <w:sz w:val="32"/>
          <w:szCs w:val="32"/>
          <w:highlight w:val="none"/>
        </w:rPr>
        <w:t>不得为第三方公司经营获利提供便利条件。</w:t>
      </w:r>
      <w:r>
        <w:rPr>
          <w:rFonts w:hint="eastAsia" w:ascii="仿宋_GB2312" w:hAnsi="仿宋_GB2312" w:eastAsia="仿宋_GB2312" w:cs="仿宋_GB2312"/>
          <w:spacing w:val="5"/>
          <w:sz w:val="32"/>
          <w:szCs w:val="32"/>
          <w:highlight w:val="none"/>
          <w:lang w:eastAsia="zh-CN"/>
        </w:rPr>
        <w:t>各地基础电信企业要严格遵守国家工程建设标准中有关电信业务经营者和建</w:t>
      </w:r>
      <w:r>
        <w:rPr>
          <w:rFonts w:hint="eastAsia" w:ascii="仿宋_GB2312" w:hAnsi="仿宋_GB2312" w:eastAsia="仿宋_GB2312" w:cs="仿宋_GB2312"/>
          <w:spacing w:val="5"/>
          <w:sz w:val="32"/>
          <w:szCs w:val="32"/>
          <w:highlight w:val="none"/>
          <w:lang w:val="en-US" w:eastAsia="zh-CN"/>
        </w:rPr>
        <w:t xml:space="preserve"> </w:t>
      </w:r>
      <w:r>
        <w:rPr>
          <w:rFonts w:hint="eastAsia" w:ascii="仿宋_GB2312" w:hAnsi="仿宋_GB2312" w:eastAsia="仿宋_GB2312" w:cs="仿宋_GB2312"/>
          <w:spacing w:val="5"/>
          <w:sz w:val="32"/>
          <w:szCs w:val="32"/>
          <w:highlight w:val="none"/>
          <w:lang w:eastAsia="zh-CN"/>
        </w:rPr>
        <w:t>筑物建设方的工程分工界面规定，各自承担相关的工程量，不得违反建设标准规定的工程界面，直接或间接投资应由建筑物建设方建设的通信配套设施，避免重复建设。（</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通信管理、经信、住房和城乡建设、市场监督管理部门，基础电信运营企业</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240" w:lineRule="auto"/>
        <w:ind w:right="0" w:firstLine="660" w:firstLineChars="200"/>
        <w:jc w:val="both"/>
        <w:textAlignment w:val="baseline"/>
        <w:outlineLvl w:val="9"/>
        <w:rPr>
          <w:rFonts w:hint="eastAsia" w:ascii="楷体_GB2312" w:hAnsi="楷体_GB2312" w:eastAsia="楷体_GB2312" w:cs="楷体_GB2312"/>
          <w:spacing w:val="5"/>
          <w:sz w:val="32"/>
          <w:szCs w:val="32"/>
          <w:highlight w:val="none"/>
        </w:rPr>
      </w:pPr>
      <w:r>
        <w:rPr>
          <w:rFonts w:hint="eastAsia" w:ascii="楷体_GB2312" w:hAnsi="楷体_GB2312" w:eastAsia="楷体_GB2312" w:cs="楷体_GB2312"/>
          <w:spacing w:val="5"/>
          <w:sz w:val="32"/>
          <w:szCs w:val="32"/>
          <w:highlight w:val="none"/>
          <w:lang w:eastAsia="zh-CN"/>
        </w:rPr>
        <w:t>（二）</w:t>
      </w:r>
      <w:r>
        <w:rPr>
          <w:rFonts w:hint="eastAsia" w:ascii="楷体_GB2312" w:hAnsi="楷体_GB2312" w:eastAsia="楷体_GB2312" w:cs="楷体_GB2312"/>
          <w:spacing w:val="5"/>
          <w:sz w:val="32"/>
          <w:szCs w:val="32"/>
          <w:highlight w:val="none"/>
        </w:rPr>
        <w:t>全面推动共同进入，推进“‘双千兆’网络共进攻坚工程”</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通信管理部门要严格按照《实施意见》规定的电信基础设施共建共享流程，强化千兆光网、5G 基站站址及机房、建筑楼宇类和公共交通类</w:t>
      </w:r>
      <w:r>
        <w:rPr>
          <w:rFonts w:hint="eastAsia" w:ascii="仿宋_GB2312" w:hAnsi="仿宋_GB2312" w:eastAsia="仿宋_GB2312" w:cs="仿宋_GB2312"/>
          <w:spacing w:val="5"/>
          <w:sz w:val="32"/>
          <w:szCs w:val="32"/>
          <w:highlight w:val="none"/>
          <w:lang w:eastAsia="zh-CN"/>
        </w:rPr>
        <w:t>等</w:t>
      </w:r>
      <w:r>
        <w:rPr>
          <w:rFonts w:hint="eastAsia" w:ascii="仿宋_GB2312" w:hAnsi="仿宋_GB2312" w:eastAsia="仿宋_GB2312" w:cs="仿宋_GB2312"/>
          <w:spacing w:val="5"/>
          <w:sz w:val="32"/>
          <w:szCs w:val="32"/>
          <w:highlight w:val="none"/>
        </w:rPr>
        <w:t>重点场</w:t>
      </w:r>
      <w:r>
        <w:rPr>
          <w:rFonts w:hint="eastAsia" w:ascii="仿宋_GB2312" w:hAnsi="仿宋_GB2312" w:eastAsia="仿宋_GB2312" w:cs="仿宋_GB2312"/>
          <w:spacing w:val="5"/>
          <w:sz w:val="32"/>
          <w:szCs w:val="32"/>
          <w:highlight w:val="none"/>
          <w:lang w:eastAsia="zh-CN"/>
        </w:rPr>
        <w:t>所</w:t>
      </w:r>
      <w:r>
        <w:rPr>
          <w:rFonts w:hint="eastAsia" w:ascii="仿宋_GB2312" w:hAnsi="仿宋_GB2312" w:eastAsia="仿宋_GB2312" w:cs="仿宋_GB2312"/>
          <w:spacing w:val="5"/>
          <w:sz w:val="32"/>
          <w:szCs w:val="32"/>
          <w:highlight w:val="none"/>
        </w:rPr>
        <w:t>室内分布系统的建设需求统筹，组织督促基础电信运营企业开展杆路、管道、机房、光缆、基站接入传输线路等设施的共建共享，并按照国家有关部署，支持推进 5G 接入网共建共享。</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通信管理部门，基础电信运营企业、铁塔公司</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要会同当地相关部门，按照《实施意见》“‘双千兆’网络共进攻坚工程”的要求，梳理高等学校、职业学校、有条件的中小学校、社区托幼机构、二级及以上医院、疾病预防控制中心、社区卫生服务中心、民政服务机构、公共体育场所、公共文化场馆、</w:t>
      </w:r>
      <w:r>
        <w:rPr>
          <w:rFonts w:hint="eastAsia" w:ascii="仿宋_GB2312" w:hAnsi="仿宋_GB2312" w:eastAsia="仿宋_GB2312" w:cs="仿宋_GB2312"/>
          <w:spacing w:val="5"/>
          <w:sz w:val="32"/>
          <w:szCs w:val="32"/>
          <w:highlight w:val="none"/>
          <w:lang w:val="en-US" w:eastAsia="zh-CN"/>
        </w:rPr>
        <w:t>A级</w:t>
      </w:r>
      <w:r>
        <w:rPr>
          <w:rFonts w:hint="eastAsia" w:ascii="仿宋_GB2312" w:hAnsi="仿宋_GB2312" w:eastAsia="仿宋_GB2312" w:cs="仿宋_GB2312"/>
          <w:spacing w:val="5"/>
          <w:sz w:val="32"/>
          <w:szCs w:val="32"/>
          <w:highlight w:val="none"/>
        </w:rPr>
        <w:t>旅游景区、产业园区、大型住宅区、港口客运站、地铁站、汽车站、火车站、机场、</w:t>
      </w:r>
      <w:r>
        <w:rPr>
          <w:rFonts w:hint="eastAsia" w:ascii="仿宋_GB2312" w:hAnsi="仿宋_GB2312" w:eastAsia="仿宋_GB2312" w:cs="仿宋_GB2312"/>
          <w:spacing w:val="5"/>
          <w:w w:val="99"/>
          <w:sz w:val="32"/>
          <w:szCs w:val="32"/>
          <w:highlight w:val="none"/>
        </w:rPr>
        <w:t>公共交通枢纽等重点场所清单并按年度更新，对照清单明确</w:t>
      </w:r>
      <w:r>
        <w:rPr>
          <w:rFonts w:hint="eastAsia" w:ascii="仿宋_GB2312" w:hAnsi="仿宋_GB2312" w:eastAsia="仿宋_GB2312" w:cs="仿宋_GB2312"/>
          <w:spacing w:val="6"/>
          <w:w w:val="99"/>
          <w:sz w:val="32"/>
          <w:szCs w:val="32"/>
          <w:highlight w:val="none"/>
        </w:rPr>
        <w:t>5G</w:t>
      </w:r>
      <w:r>
        <w:rPr>
          <w:rFonts w:hint="eastAsia" w:ascii="仿宋_GB2312" w:hAnsi="仿宋_GB2312" w:eastAsia="仿宋_GB2312" w:cs="仿宋_GB2312"/>
          <w:spacing w:val="5"/>
          <w:sz w:val="32"/>
          <w:szCs w:val="32"/>
          <w:highlight w:val="none"/>
        </w:rPr>
        <w:t>网络共同进入年度任务，形成5G网络建设共同进入重点场所清单</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详见附表1</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协调基础电信运营企业统一进场，统筹开展建设和施工，并组织基础电信运营企业开展重点场所移动网络质量评测，研究建立宽带网络覆盖地图，公开网络接入情况并畅通投诉渠道。梳理未有或仅有一家基础电信运营企业宽带网络接入的住宅区和住宅建筑、商务楼宇清单并按年度更新，形成住宅建筑商务楼宇宽带网络接入清单</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详见附件表</w:t>
      </w:r>
      <w:r>
        <w:rPr>
          <w:rFonts w:hint="eastAsia" w:ascii="仿宋_GB2312" w:hAnsi="仿宋_GB2312" w:eastAsia="仿宋_GB2312" w:cs="仿宋_GB2312"/>
          <w:spacing w:val="5"/>
          <w:sz w:val="32"/>
          <w:szCs w:val="32"/>
          <w:highlight w:val="none"/>
          <w:lang w:val="en-US" w:eastAsia="zh-CN"/>
        </w:rPr>
        <w:t>3</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。清单中重点场所业主单位的相关市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主管部门和住宅建筑商务楼宇主管部门应协调产权人及其委托的管理人、物业服务企业等积极支持5G网络进场、建设和运维，保障基础电信运营企业公平进入。对于住宅区和住宅建筑、商务楼宇产权人及其委托的管理人、物业服务企业违规收费、限制公平接入和其它阻碍电信基础设施建设的违法违规行为，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通信管理部门应积极协调当地</w:t>
      </w:r>
      <w:r>
        <w:rPr>
          <w:rFonts w:hint="eastAsia" w:ascii="仿宋_GB2312" w:hAnsi="仿宋_GB2312" w:eastAsia="仿宋_GB2312" w:cs="仿宋_GB2312"/>
          <w:spacing w:val="5"/>
          <w:sz w:val="32"/>
          <w:szCs w:val="32"/>
          <w:highlight w:val="none"/>
          <w:lang w:eastAsia="zh-CN"/>
        </w:rPr>
        <w:t>市场监督管理</w:t>
      </w:r>
      <w:r>
        <w:rPr>
          <w:rFonts w:hint="eastAsia" w:ascii="仿宋_GB2312" w:hAnsi="仿宋_GB2312" w:eastAsia="仿宋_GB2312" w:cs="仿宋_GB2312"/>
          <w:spacing w:val="5"/>
          <w:sz w:val="32"/>
          <w:szCs w:val="32"/>
          <w:highlight w:val="none"/>
        </w:rPr>
        <w:t>等相关部门进行查处；对于电信运营企业或其代理商与相关产权人及其委托的管理人、物业服务企业签订排他性协议或约</w:t>
      </w:r>
      <w:r>
        <w:rPr>
          <w:rFonts w:hint="eastAsia" w:ascii="仿宋_GB2312" w:hAnsi="仿宋_GB2312" w:eastAsia="仿宋_GB2312" w:cs="仿宋_GB2312"/>
          <w:spacing w:val="5"/>
          <w:sz w:val="32"/>
          <w:szCs w:val="32"/>
          <w:highlight w:val="none"/>
          <w:lang w:eastAsia="zh-CN"/>
        </w:rPr>
        <w:t>定</w:t>
      </w: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通信管理部门上报至省通信管理局进行查处。</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通信管理、经信、教育、公安、民政、住房和城乡建设、交通运输、文化和旅游、卫生健康、市场监督、体育、铁路管理部门，</w:t>
      </w:r>
      <w:r>
        <w:rPr>
          <w:rFonts w:hint="eastAsia" w:ascii="仿宋_GB2312" w:hAnsi="仿宋_GB2312" w:eastAsia="仿宋_GB2312" w:cs="仿宋_GB2312"/>
          <w:spacing w:val="5"/>
          <w:sz w:val="32"/>
          <w:szCs w:val="32"/>
          <w:highlight w:val="none"/>
          <w:lang w:eastAsia="zh-CN"/>
        </w:rPr>
        <w:t>供电企业、</w:t>
      </w:r>
      <w:r>
        <w:rPr>
          <w:rFonts w:hint="eastAsia" w:ascii="仿宋_GB2312" w:hAnsi="仿宋_GB2312" w:eastAsia="仿宋_GB2312" w:cs="仿宋_GB2312"/>
          <w:spacing w:val="5"/>
          <w:sz w:val="32"/>
          <w:szCs w:val="32"/>
          <w:highlight w:val="none"/>
        </w:rPr>
        <w:t>基础电信运营企业、铁塔公司</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楷体_GB2312" w:hAnsi="楷体_GB2312" w:eastAsia="楷体_GB2312" w:cs="楷体_GB2312"/>
          <w:spacing w:val="5"/>
          <w:sz w:val="32"/>
          <w:szCs w:val="32"/>
          <w:highlight w:val="none"/>
          <w:lang w:eastAsia="zh-CN"/>
        </w:rPr>
      </w:pPr>
      <w:r>
        <w:rPr>
          <w:rFonts w:hint="eastAsia" w:ascii="楷体_GB2312" w:hAnsi="楷体_GB2312" w:eastAsia="楷体_GB2312" w:cs="楷体_GB2312"/>
          <w:spacing w:val="5"/>
          <w:sz w:val="32"/>
          <w:szCs w:val="32"/>
          <w:highlight w:val="none"/>
          <w:lang w:eastAsia="zh-CN"/>
        </w:rPr>
        <w:t>（三）积极参与共同缔造，推进通信杆路线缆维护梳理</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基础电信运营企业要积极参与全面推进城镇老旧小区改造和美丽乡村的共同缔造，按照《实施意见》的要求，在相应共建共享协调机制下，推动杆线共享和存量杆线梳理，通过同沟分缆分管、同杆路分缆、同缆分芯、纤芯置换、租用纤芯等模式推动杆路线缆共建共享，统一协调赔补和管道、杆路租用等，及时摸排并整治违规搭挂杆路线缆，拔除清理废弃线路</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杆塔，消除安全隐患，推进杆线共治共维工程。省级基础电信运营企业应加强资金统筹，强化基层工作组织，充分发挥行业驻村帮扶工作队和驻村第一书记的作用，积极争取地方支持，推动行业所驻村自发参与到农村杆线维护梳理工作中来，以美丽乡村共同缔造为方向，以行业所驻村为首批重点，优先遴选出地方政府或组织支持力度大、村组村民参与度强、标线整治环境好的乡村，每年打造出一批农村杆线规范建设的标杆，形成行业示范。</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通信管理、经信部门，基础电信运营企业</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楷体_GB2312" w:hAnsi="楷体_GB2312" w:eastAsia="楷体_GB2312" w:cs="楷体_GB2312"/>
          <w:spacing w:val="5"/>
          <w:sz w:val="32"/>
          <w:szCs w:val="32"/>
          <w:highlight w:val="none"/>
          <w:lang w:eastAsia="zh-CN"/>
        </w:rPr>
      </w:pPr>
      <w:r>
        <w:rPr>
          <w:rFonts w:hint="eastAsia" w:ascii="楷体_GB2312" w:hAnsi="楷体_GB2312" w:eastAsia="楷体_GB2312" w:cs="楷体_GB2312"/>
          <w:spacing w:val="5"/>
          <w:sz w:val="32"/>
          <w:szCs w:val="32"/>
          <w:highlight w:val="none"/>
          <w:lang w:eastAsia="zh-CN"/>
        </w:rPr>
        <w:t>（四）持续做好工作协同，推进跨行业资源设施开放共享</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相关部门、基础电信运营企业应贯彻《实施意见》的要求，积极推进电力设施、市政设施、交通运输设施、通信设施的共建共享，推动杆塔、管道、管廊、隧道、光缆、机房等设施资源以合理公允的市场化方式，实现跨行业资源设施的开放共享，充分发挥通信网络赋能千行百业的作用。</w:t>
      </w:r>
      <w:r>
        <w:rPr>
          <w:rFonts w:hint="eastAsia" w:ascii="仿宋_GB2312" w:hAnsi="仿宋_GB2312" w:eastAsia="仿宋_GB2312" w:cs="仿宋_GB2312"/>
          <w:spacing w:val="5"/>
          <w:sz w:val="32"/>
          <w:szCs w:val="32"/>
          <w:highlight w:val="none"/>
          <w:lang w:eastAsia="zh-CN"/>
        </w:rPr>
        <w:t>具体项目实施前，应充分征求电力、交通、铁路等主管部门意见，严格遵守主管部门的相关要求。</w:t>
      </w: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通信管理部门牵头，组织基础电信运营企业会同公安、自然资源、住房</w:t>
      </w:r>
      <w:r>
        <w:rPr>
          <w:rFonts w:hint="eastAsia" w:ascii="仿宋_GB2312" w:hAnsi="仿宋_GB2312" w:eastAsia="仿宋_GB2312" w:cs="仿宋_GB2312"/>
          <w:spacing w:val="5"/>
          <w:sz w:val="32"/>
          <w:szCs w:val="32"/>
          <w:highlight w:val="none"/>
          <w:lang w:eastAsia="zh-CN"/>
        </w:rPr>
        <w:t>和</w:t>
      </w:r>
      <w:r>
        <w:rPr>
          <w:rFonts w:hint="eastAsia" w:ascii="仿宋_GB2312" w:hAnsi="仿宋_GB2312" w:eastAsia="仿宋_GB2312" w:cs="仿宋_GB2312"/>
          <w:spacing w:val="5"/>
          <w:sz w:val="32"/>
          <w:szCs w:val="32"/>
          <w:highlight w:val="none"/>
        </w:rPr>
        <w:t>城乡建设、交通运输、市场监督、能源、电力、铁路等部门梳理建立跨行业基础设施资源共享需求清单</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见附件表</w:t>
      </w:r>
      <w:r>
        <w:rPr>
          <w:rFonts w:hint="eastAsia" w:ascii="仿宋_GB2312" w:hAnsi="仿宋_GB2312" w:eastAsia="仿宋_GB2312" w:cs="仿宋_GB2312"/>
          <w:spacing w:val="5"/>
          <w:sz w:val="32"/>
          <w:szCs w:val="32"/>
          <w:highlight w:val="none"/>
          <w:lang w:val="en-US" w:eastAsia="zh-CN"/>
        </w:rPr>
        <w:t>6</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,提供基站、管网等基础设施，满足行业、单位共建</w:t>
      </w:r>
      <w:r>
        <w:rPr>
          <w:rFonts w:hint="eastAsia" w:ascii="仿宋_GB2312" w:hAnsi="仿宋_GB2312" w:eastAsia="仿宋_GB2312" w:cs="仿宋_GB2312"/>
          <w:spacing w:val="5"/>
          <w:sz w:val="32"/>
          <w:szCs w:val="32"/>
          <w:highlight w:val="none"/>
          <w:lang w:eastAsia="zh-CN"/>
        </w:rPr>
        <w:t>共享</w:t>
      </w:r>
      <w:r>
        <w:rPr>
          <w:rFonts w:hint="eastAsia" w:ascii="仿宋_GB2312" w:hAnsi="仿宋_GB2312" w:eastAsia="仿宋_GB2312" w:cs="仿宋_GB2312"/>
          <w:spacing w:val="5"/>
          <w:sz w:val="32"/>
          <w:szCs w:val="32"/>
          <w:highlight w:val="none"/>
        </w:rPr>
        <w:t>需要</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按年度完成清单的全部协调工作，形成一批跨行业电信基础设施共建共享典型案例，省通信管理局每年度评比优秀案例并公开发布。</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通信管理、经信、公安、自然资源、住房和城乡建设、交通运输、市场监督、</w:t>
      </w:r>
      <w:r>
        <w:rPr>
          <w:rFonts w:hint="eastAsia" w:ascii="仿宋_GB2312" w:hAnsi="仿宋_GB2312" w:eastAsia="仿宋_GB2312" w:cs="仿宋_GB2312"/>
          <w:spacing w:val="5"/>
          <w:sz w:val="32"/>
          <w:szCs w:val="32"/>
          <w:highlight w:val="none"/>
          <w:lang w:eastAsia="zh-CN"/>
        </w:rPr>
        <w:t>能源</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电力、</w:t>
      </w:r>
      <w:r>
        <w:rPr>
          <w:rFonts w:hint="eastAsia" w:ascii="仿宋_GB2312" w:hAnsi="仿宋_GB2312" w:eastAsia="仿宋_GB2312" w:cs="仿宋_GB2312"/>
          <w:spacing w:val="5"/>
          <w:sz w:val="32"/>
          <w:szCs w:val="32"/>
          <w:highlight w:val="none"/>
        </w:rPr>
        <w:t>铁路管理部门，</w:t>
      </w:r>
      <w:r>
        <w:rPr>
          <w:rFonts w:hint="eastAsia" w:ascii="仿宋_GB2312" w:hAnsi="仿宋_GB2312" w:eastAsia="仿宋_GB2312" w:cs="仿宋_GB2312"/>
          <w:spacing w:val="5"/>
          <w:sz w:val="32"/>
          <w:szCs w:val="32"/>
          <w:highlight w:val="none"/>
          <w:lang w:eastAsia="zh-CN"/>
        </w:rPr>
        <w:t>供电企业、</w:t>
      </w:r>
      <w:r>
        <w:rPr>
          <w:rFonts w:hint="eastAsia" w:ascii="仿宋_GB2312" w:hAnsi="仿宋_GB2312" w:eastAsia="仿宋_GB2312" w:cs="仿宋_GB2312"/>
          <w:spacing w:val="5"/>
          <w:sz w:val="32"/>
          <w:szCs w:val="32"/>
          <w:highlight w:val="none"/>
        </w:rPr>
        <w:t>基础电信运营企业、铁塔公司</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楷体_GB2312" w:hAnsi="楷体_GB2312" w:eastAsia="楷体_GB2312" w:cs="楷体_GB2312"/>
          <w:spacing w:val="5"/>
          <w:sz w:val="32"/>
          <w:szCs w:val="32"/>
          <w:highlight w:val="none"/>
          <w:lang w:eastAsia="zh-CN"/>
        </w:rPr>
      </w:pPr>
      <w:r>
        <w:rPr>
          <w:rFonts w:hint="eastAsia" w:ascii="楷体_GB2312" w:hAnsi="楷体_GB2312" w:eastAsia="楷体_GB2312" w:cs="楷体_GB2312"/>
          <w:spacing w:val="5"/>
          <w:sz w:val="32"/>
          <w:szCs w:val="32"/>
          <w:highlight w:val="none"/>
          <w:lang w:eastAsia="zh-CN"/>
        </w:rPr>
        <w:t>（五）不断加强支撑和评估，推进“双千兆”网络建设环境优化</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继续完善湖北省通信行业共建共享平台系统建设，各基础电信运营企业和铁塔公司应将各类电信基础设施资源信息及时录入平台资源库，严格依托系统平台完成共建共享流程。通过平台加大共建共享流程执行情况的监督，对于未按共建共享流程执行或者在执行过程违反有关工作规则和规定的，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通信管理部门应及时督促整改，并将有关情况报送至省通信管理局。</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通信管理部门，基础电信运营企业、铁塔公司</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5"/>
          <w:sz w:val="32"/>
          <w:szCs w:val="32"/>
          <w:highlight w:val="none"/>
        </w:rPr>
        <w:t>积极开展建设环境评估。各市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统筹考虑当地设施规划、政策保障、资金支持、考核引导、跨行业协调机制运转等综合情况，聚集“双千兆”网络建设政策因素，于每年1月底向省通信管理局上报当地建设环境的自评估总结。省通信管理局组织第三方对各地市网络建设环境进行评估，形成年度评估报告，并结合工信部、省委省政府确定的有关“双千兆”网络考核指标，加强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评估结果的运用，加大宣传力度，推广优秀经验与案例。</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责任单位:省通信管理局，市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w:t>
      </w:r>
      <w:r>
        <w:rPr>
          <w:rFonts w:hint="eastAsia" w:ascii="仿宋_GB2312" w:hAnsi="仿宋_GB2312" w:eastAsia="仿宋_GB2312" w:cs="仿宋_GB2312"/>
          <w:spacing w:val="5"/>
          <w:sz w:val="32"/>
          <w:szCs w:val="32"/>
          <w:highlight w:val="none"/>
          <w:lang w:eastAsia="zh-CN"/>
        </w:rPr>
        <w:t>、经信</w:t>
      </w:r>
      <w:r>
        <w:rPr>
          <w:rFonts w:hint="eastAsia" w:ascii="仿宋_GB2312" w:hAnsi="仿宋_GB2312" w:eastAsia="仿宋_GB2312" w:cs="仿宋_GB2312"/>
          <w:spacing w:val="5"/>
          <w:sz w:val="32"/>
          <w:szCs w:val="32"/>
          <w:highlight w:val="none"/>
        </w:rPr>
        <w:t>部门</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黑体" w:hAnsi="黑体" w:eastAsia="黑体" w:cs="黑体"/>
          <w:b w:val="0"/>
          <w:bCs w:val="0"/>
          <w:spacing w:val="5"/>
          <w:sz w:val="32"/>
          <w:szCs w:val="32"/>
          <w:highlight w:val="none"/>
        </w:rPr>
      </w:pPr>
      <w:r>
        <w:rPr>
          <w:rFonts w:hint="eastAsia" w:ascii="黑体" w:hAnsi="黑体" w:eastAsia="黑体" w:cs="黑体"/>
          <w:b w:val="0"/>
          <w:bCs w:val="0"/>
          <w:spacing w:val="5"/>
          <w:sz w:val="32"/>
          <w:szCs w:val="32"/>
          <w:highlight w:val="none"/>
        </w:rPr>
        <w:t>三、建立跨行业的组织协调机制</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成立省级部门电信基础设施共建共享跨行业协调联动机制，由省通信管理局主要领导为召集人，省通信管理局、教育厅、经信厅、公安厅、民政厅、自然资源厅、住建厅、交通厅、文旅</w:t>
      </w:r>
      <w:r>
        <w:rPr>
          <w:rFonts w:hint="eastAsia" w:ascii="仿宋_GB2312" w:hAnsi="仿宋_GB2312" w:eastAsia="仿宋_GB2312" w:cs="仿宋_GB2312"/>
          <w:spacing w:val="5"/>
          <w:sz w:val="32"/>
          <w:szCs w:val="32"/>
          <w:highlight w:val="none"/>
          <w:lang w:eastAsia="zh-CN"/>
        </w:rPr>
        <w:t>厅</w:t>
      </w:r>
      <w:r>
        <w:rPr>
          <w:rFonts w:hint="eastAsia" w:ascii="仿宋_GB2312" w:hAnsi="仿宋_GB2312" w:eastAsia="仿宋_GB2312" w:cs="仿宋_GB2312"/>
          <w:spacing w:val="5"/>
          <w:sz w:val="32"/>
          <w:szCs w:val="32"/>
          <w:highlight w:val="none"/>
        </w:rPr>
        <w:t>、卫健委、市场监督局、体育局、能源局、武汉铁路监管局、国网湖北电力公司、中铁武汉局集团公司和省级基础电信运营企业、铁塔公司的分管领导为成员。协调联动机制办公室设在省通信管理局，省通信管理局分管领导为办公室召集人，以上各单位部门负责人和基础电信运营企业、铁塔公司部门主要负责人为成员。各单位设联络员一名，联络员会议由省通信管理局信息通信发展处负责召集。</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黑体" w:hAnsi="黑体" w:eastAsia="黑体" w:cs="黑体"/>
          <w:spacing w:val="5"/>
          <w:sz w:val="32"/>
          <w:szCs w:val="32"/>
          <w:highlight w:val="none"/>
        </w:rPr>
      </w:pPr>
      <w:r>
        <w:rPr>
          <w:rFonts w:hint="eastAsia" w:ascii="黑体" w:hAnsi="黑体" w:eastAsia="黑体" w:cs="黑体"/>
          <w:spacing w:val="5"/>
          <w:sz w:val="32"/>
          <w:szCs w:val="32"/>
          <w:highlight w:val="none"/>
        </w:rPr>
        <w:t>四、保障措施</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一是加强组织领导。</w:t>
      </w:r>
      <w:r>
        <w:rPr>
          <w:rFonts w:hint="eastAsia" w:ascii="仿宋_GB2312" w:hAnsi="仿宋_GB2312" w:eastAsia="仿宋_GB2312" w:cs="仿宋_GB2312"/>
          <w:spacing w:val="5"/>
          <w:sz w:val="32"/>
          <w:szCs w:val="32"/>
          <w:highlight w:val="none"/>
        </w:rPr>
        <w:t>省级各部门应充分发挥协调联动机制及办公室的作用，定期召开会议，研究推进《工作方案》的各项重点工作，抓好各项工作任务的协调、督促和落实，并加强对市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工作的督导检查。各市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通信管理部门牵头，比照建立跨行业协调联动机制，将目标推进情况定期报送各上级主管部门，按季度报告工作进展、存在的困难和问题等情况，并就有关重要工作提请协调督办。各市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通信管理部门每季度定期收集统计</w:t>
      </w:r>
      <w:r>
        <w:rPr>
          <w:rFonts w:hint="eastAsia" w:ascii="仿宋_GB2312" w:hAnsi="仿宋_GB2312" w:eastAsia="仿宋_GB2312" w:cs="仿宋_GB2312"/>
          <w:spacing w:val="5"/>
          <w:sz w:val="32"/>
          <w:szCs w:val="32"/>
          <w:highlight w:val="none"/>
          <w:lang w:eastAsia="zh-CN"/>
        </w:rPr>
        <w:t>专项工作</w:t>
      </w:r>
      <w:r>
        <w:rPr>
          <w:rFonts w:hint="eastAsia" w:ascii="仿宋_GB2312" w:hAnsi="仿宋_GB2312" w:eastAsia="仿宋_GB2312" w:cs="仿宋_GB2312"/>
          <w:spacing w:val="5"/>
          <w:sz w:val="32"/>
          <w:szCs w:val="32"/>
          <w:highlight w:val="none"/>
        </w:rPr>
        <w:t>清单进度，组织联动机制各成员单位召开会议，通报工作推进情况，协调解决困难及问题。</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二是加强咨询与争议处理。</w:t>
      </w:r>
      <w:r>
        <w:rPr>
          <w:rFonts w:hint="eastAsia" w:ascii="仿宋_GB2312" w:hAnsi="仿宋_GB2312" w:eastAsia="仿宋_GB2312" w:cs="仿宋_GB2312"/>
          <w:spacing w:val="5"/>
          <w:sz w:val="32"/>
          <w:szCs w:val="32"/>
          <w:highlight w:val="none"/>
        </w:rPr>
        <w:t>省通信管理局建立和完善电信基础设施共建共享专家咨询机制，组织对存在争议的共建共享条件、有关技术方案或实施中遇到的具体问题</w:t>
      </w:r>
      <w:r>
        <w:rPr>
          <w:rFonts w:hint="eastAsia" w:ascii="仿宋_GB2312" w:hAnsi="仿宋_GB2312" w:eastAsia="仿宋_GB2312" w:cs="仿宋_GB2312"/>
          <w:spacing w:val="5"/>
          <w:sz w:val="32"/>
          <w:szCs w:val="32"/>
          <w:highlight w:val="none"/>
          <w:lang w:eastAsia="zh-CN"/>
        </w:rPr>
        <w:t>进行</w:t>
      </w:r>
      <w:r>
        <w:rPr>
          <w:rFonts w:hint="eastAsia" w:ascii="仿宋_GB2312" w:hAnsi="仿宋_GB2312" w:eastAsia="仿宋_GB2312" w:cs="仿宋_GB2312"/>
          <w:spacing w:val="5"/>
          <w:sz w:val="32"/>
          <w:szCs w:val="32"/>
          <w:highlight w:val="none"/>
        </w:rPr>
        <w:t>处理。各市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通信管理部门牵头，比照建立电信基础设施共建共享专家咨询机制。省、市协调联动机制各成员单位加强沟通、协调和督办，共同解决争议问题。</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三是完善支持政策。</w:t>
      </w: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自然资源和规划、住房</w:t>
      </w:r>
      <w:r>
        <w:rPr>
          <w:rFonts w:hint="eastAsia" w:ascii="仿宋_GB2312" w:hAnsi="仿宋_GB2312" w:eastAsia="仿宋_GB2312" w:cs="仿宋_GB2312"/>
          <w:spacing w:val="5"/>
          <w:sz w:val="32"/>
          <w:szCs w:val="32"/>
          <w:highlight w:val="none"/>
          <w:lang w:eastAsia="zh-CN"/>
        </w:rPr>
        <w:t>和</w:t>
      </w:r>
      <w:r>
        <w:rPr>
          <w:rFonts w:hint="eastAsia" w:ascii="仿宋_GB2312" w:hAnsi="仿宋_GB2312" w:eastAsia="仿宋_GB2312" w:cs="仿宋_GB2312"/>
          <w:spacing w:val="5"/>
          <w:sz w:val="32"/>
          <w:szCs w:val="32"/>
          <w:highlight w:val="none"/>
        </w:rPr>
        <w:t>城乡建设、能源等部门持续优化简化涉及“双千兆”网络基础设</w:t>
      </w:r>
      <w:r>
        <w:rPr>
          <w:rFonts w:hint="eastAsia" w:ascii="仿宋_GB2312" w:hAnsi="仿宋_GB2312" w:eastAsia="仿宋_GB2312" w:cs="仿宋_GB2312"/>
          <w:spacing w:val="5"/>
          <w:sz w:val="32"/>
          <w:szCs w:val="32"/>
          <w:highlight w:val="none"/>
          <w:lang w:eastAsia="zh-CN"/>
        </w:rPr>
        <w:t>施</w:t>
      </w:r>
      <w:r>
        <w:rPr>
          <w:rFonts w:hint="eastAsia" w:ascii="仿宋_GB2312" w:hAnsi="仿宋_GB2312" w:eastAsia="仿宋_GB2312" w:cs="仿宋_GB2312"/>
          <w:spacing w:val="5"/>
          <w:sz w:val="32"/>
          <w:szCs w:val="32"/>
          <w:highlight w:val="none"/>
        </w:rPr>
        <w:t>建设的审批程序，缩短审批周期。鼓励各地机关事业单位所属设施资源免费向“双千兆”网络建设开放。</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四是开展经验推广。</w:t>
      </w: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通信管理部门、省级基础电信运营企业要加强典型案例的挖掘和培育，加强交流和培训，借鉴先进经验和做法。典型案例、先进经验和作法应及时上</w:t>
      </w:r>
      <w:r>
        <w:rPr>
          <w:rFonts w:hint="eastAsia" w:ascii="仿宋_GB2312" w:hAnsi="仿宋_GB2312" w:eastAsia="仿宋_GB2312" w:cs="仿宋_GB2312"/>
          <w:spacing w:val="5"/>
          <w:sz w:val="32"/>
          <w:szCs w:val="32"/>
          <w:highlight w:val="none"/>
          <w:lang w:eastAsia="zh-CN"/>
        </w:rPr>
        <w:t>报，</w:t>
      </w:r>
      <w:r>
        <w:rPr>
          <w:rFonts w:hint="eastAsia" w:ascii="仿宋_GB2312" w:hAnsi="仿宋_GB2312" w:eastAsia="仿宋_GB2312" w:cs="仿宋_GB2312"/>
          <w:spacing w:val="5"/>
          <w:sz w:val="32"/>
          <w:szCs w:val="32"/>
          <w:highlight w:val="none"/>
        </w:rPr>
        <w:t>协调联动机制各成员单位应积极宣传和推广。</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五是及时报送数据。</w:t>
      </w:r>
      <w:r>
        <w:rPr>
          <w:rFonts w:hint="eastAsia" w:ascii="仿宋_GB2312" w:hAnsi="仿宋_GB2312" w:eastAsia="仿宋_GB2312" w:cs="仿宋_GB2312"/>
          <w:spacing w:val="5"/>
          <w:sz w:val="32"/>
          <w:szCs w:val="32"/>
          <w:highlight w:val="none"/>
        </w:rPr>
        <w:t>省级基础电信运营企业、铁塔公司应于每季度第5日前将全省本单位上季度电信基础设施共建共享情况报送省通信管理局。各市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通信管理部门应于</w:t>
      </w:r>
      <w:r>
        <w:rPr>
          <w:rFonts w:hint="eastAsia" w:ascii="仿宋_GB2312" w:hAnsi="仿宋_GB2312" w:eastAsia="仿宋_GB2312" w:cs="仿宋_GB2312"/>
          <w:spacing w:val="5"/>
          <w:sz w:val="32"/>
          <w:szCs w:val="32"/>
          <w:highlight w:val="none"/>
          <w:lang w:eastAsia="zh-CN"/>
        </w:rPr>
        <w:t>每年</w:t>
      </w:r>
      <w:r>
        <w:rPr>
          <w:rFonts w:hint="eastAsia" w:ascii="仿宋_GB2312" w:hAnsi="仿宋_GB2312" w:eastAsia="仿宋_GB2312" w:cs="仿宋_GB2312"/>
          <w:spacing w:val="5"/>
          <w:sz w:val="32"/>
          <w:szCs w:val="32"/>
          <w:highlight w:val="none"/>
          <w:lang w:val="en-US" w:eastAsia="zh-CN"/>
        </w:rPr>
        <w:t>4、7、10月将上一季度的</w:t>
      </w:r>
      <w:r>
        <w:rPr>
          <w:rFonts w:hint="eastAsia" w:ascii="仿宋_GB2312" w:hAnsi="仿宋_GB2312" w:eastAsia="仿宋_GB2312" w:cs="仿宋_GB2312"/>
          <w:spacing w:val="5"/>
          <w:sz w:val="32"/>
          <w:szCs w:val="32"/>
          <w:highlight w:val="none"/>
        </w:rPr>
        <w:t>专项工作清单</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见附件</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完成</w:t>
      </w:r>
      <w:r>
        <w:rPr>
          <w:rFonts w:hint="eastAsia" w:ascii="仿宋_GB2312" w:hAnsi="仿宋_GB2312" w:eastAsia="仿宋_GB2312" w:cs="仿宋_GB2312"/>
          <w:spacing w:val="5"/>
          <w:sz w:val="32"/>
          <w:szCs w:val="32"/>
          <w:highlight w:val="none"/>
          <w:lang w:eastAsia="zh-CN"/>
        </w:rPr>
        <w:t>进展</w:t>
      </w:r>
      <w:r>
        <w:rPr>
          <w:rFonts w:hint="eastAsia" w:ascii="仿宋_GB2312" w:hAnsi="仿宋_GB2312" w:eastAsia="仿宋_GB2312" w:cs="仿宋_GB2312"/>
          <w:spacing w:val="5"/>
          <w:sz w:val="32"/>
          <w:szCs w:val="32"/>
          <w:highlight w:val="none"/>
        </w:rPr>
        <w:t>情况进行统计</w:t>
      </w:r>
      <w:r>
        <w:rPr>
          <w:rFonts w:hint="eastAsia" w:ascii="仿宋_GB2312" w:hAnsi="仿宋_GB2312" w:eastAsia="仿宋_GB2312" w:cs="仿宋_GB2312"/>
          <w:spacing w:val="5"/>
          <w:sz w:val="32"/>
          <w:szCs w:val="32"/>
          <w:highlight w:val="none"/>
          <w:lang w:eastAsia="zh-CN"/>
        </w:rPr>
        <w:t>后报送省通信管理局；每</w:t>
      </w:r>
      <w:r>
        <w:rPr>
          <w:rFonts w:hint="eastAsia" w:ascii="仿宋_GB2312" w:hAnsi="仿宋_GB2312" w:eastAsia="仿宋_GB2312" w:cs="仿宋_GB2312"/>
          <w:spacing w:val="5"/>
          <w:sz w:val="32"/>
          <w:szCs w:val="32"/>
          <w:highlight w:val="none"/>
        </w:rPr>
        <w:t>年1月31日前将上一年度的专项工作清单</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见附件</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完成情况进行统计，经当地跨行业协调机制成员单位审核后报送省通信管理局。</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r>
        <w:rPr>
          <w:rFonts w:hint="eastAsia" w:ascii="黑体" w:hAnsi="黑体" w:eastAsia="黑体" w:cs="黑体"/>
          <w:b w:val="0"/>
          <w:bCs w:val="0"/>
          <w:spacing w:val="5"/>
          <w:sz w:val="32"/>
          <w:szCs w:val="32"/>
          <w:highlight w:val="none"/>
        </w:rPr>
        <w:t>六是严格监督考核。</w:t>
      </w:r>
      <w:r>
        <w:rPr>
          <w:rFonts w:hint="eastAsia" w:ascii="仿宋_GB2312" w:hAnsi="仿宋_GB2312" w:eastAsia="仿宋_GB2312" w:cs="仿宋_GB2312"/>
          <w:spacing w:val="5"/>
          <w:sz w:val="32"/>
          <w:szCs w:val="32"/>
          <w:highlight w:val="none"/>
        </w:rPr>
        <w:t>各市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州</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通信管理部门要加强电信基础设施共建共享工作的监督管理，及时向省通信管理局上报共建共享领域违规行为。省通信管理局将根据工信部电信基础设施共建共享工作考核管理制度和办法，加大考核力度，并视违规情节严重程度对责任单位和人员予以严肃处理。对于其它行业的违规问题，通过协调联动机制向有关行业主管部门反映。</w:t>
      </w:r>
    </w:p>
    <w:p>
      <w:pPr>
        <w:keepNext w:val="0"/>
        <w:keepLines w:val="0"/>
        <w:pageBreakBefore w:val="0"/>
        <w:widowControl w:val="0"/>
        <w:kinsoku/>
        <w:wordWrap w:val="0"/>
        <w:overflowPunct w:val="0"/>
        <w:topLinePunct/>
        <w:autoSpaceDE/>
        <w:autoSpaceDN/>
        <w:bidi w:val="0"/>
        <w:adjustRightInd/>
        <w:snapToGrid/>
        <w:spacing w:line="240" w:lineRule="auto"/>
        <w:ind w:left="0" w:right="0" w:firstLine="660" w:firstLineChars="200"/>
        <w:jc w:val="both"/>
        <w:textAlignment w:val="baseline"/>
        <w:outlineLvl w:val="9"/>
        <w:rPr>
          <w:rFonts w:hint="eastAsia" w:ascii="仿宋_GB2312" w:hAnsi="仿宋_GB2312" w:eastAsia="仿宋_GB2312" w:cs="仿宋_GB2312"/>
          <w:spacing w:val="5"/>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660" w:firstLineChars="200"/>
        <w:jc w:val="both"/>
        <w:textAlignment w:val="auto"/>
        <w:outlineLvl w:val="9"/>
        <w:rPr>
          <w:rFonts w:hint="eastAsia" w:ascii="方正小标宋_GBK" w:hAnsi="方正小标宋_GBK" w:eastAsia="方正小标宋_GBK" w:cs="方正小标宋_GBK"/>
          <w:sz w:val="32"/>
          <w:szCs w:val="32"/>
          <w:highlight w:val="none"/>
          <w:lang w:val="en-US" w:eastAsia="zh-CN"/>
        </w:rPr>
      </w:pPr>
      <w:r>
        <w:rPr>
          <w:rFonts w:hint="eastAsia" w:ascii="仿宋_GB2312" w:hAnsi="仿宋_GB2312" w:eastAsia="仿宋_GB2312" w:cs="仿宋_GB2312"/>
          <w:spacing w:val="5"/>
          <w:sz w:val="32"/>
          <w:szCs w:val="32"/>
          <w:highlight w:val="none"/>
        </w:rPr>
        <w:t>附件:专项工作清单</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黑体" w:hAnsi="黑体" w:eastAsia="黑体" w:cs="黑体"/>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黑体" w:hAnsi="黑体" w:eastAsia="黑体" w:cs="黑体"/>
          <w:sz w:val="32"/>
          <w:szCs w:val="32"/>
          <w:highlight w:val="none"/>
          <w:lang w:val="en-US" w:eastAsia="zh-CN"/>
        </w:rPr>
        <w:sectPr>
          <w:headerReference r:id="rId3" w:type="default"/>
          <w:footerReference r:id="rId4" w:type="default"/>
          <w:pgSz w:w="11906" w:h="16838"/>
          <w:pgMar w:top="1531" w:right="1531" w:bottom="1531" w:left="1531" w:header="850"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kinsoku/>
        <w:wordWrap w:val="0"/>
        <w:overflowPunct w:val="0"/>
        <w:topLinePunct/>
        <w:autoSpaceDE/>
        <w:autoSpaceDN/>
        <w:bidi w:val="0"/>
        <w:adjustRightInd/>
        <w:snapToGrid/>
        <w:spacing w:line="240" w:lineRule="auto"/>
        <w:ind w:right="0"/>
        <w:jc w:val="both"/>
        <w:textAlignment w:val="baseline"/>
        <w:outlineLvl w:val="9"/>
        <w:rPr>
          <w:rFonts w:hint="eastAsia" w:ascii="黑体" w:hAnsi="黑体" w:eastAsia="黑体" w:cs="黑体"/>
          <w:b w:val="0"/>
          <w:bCs w:val="0"/>
          <w:spacing w:val="-11"/>
          <w:sz w:val="32"/>
          <w:szCs w:val="32"/>
          <w:highlight w:val="none"/>
        </w:rPr>
      </w:pPr>
      <w:r>
        <w:rPr>
          <w:rFonts w:hint="eastAsia" w:ascii="黑体" w:hAnsi="黑体" w:eastAsia="黑体" w:cs="黑体"/>
          <w:b w:val="0"/>
          <w:bCs w:val="0"/>
          <w:spacing w:val="-11"/>
          <w:sz w:val="32"/>
          <w:szCs w:val="32"/>
          <w:highlight w:val="none"/>
        </w:rPr>
        <w:t>附件</w:t>
      </w:r>
    </w:p>
    <w:p>
      <w:pPr>
        <w:pStyle w:val="2"/>
        <w:keepNext w:val="0"/>
        <w:keepLines w:val="0"/>
        <w:pageBreakBefore w:val="0"/>
        <w:widowControl w:val="0"/>
        <w:kinsoku/>
        <w:autoSpaceDE/>
        <w:autoSpaceDN/>
        <w:bidi w:val="0"/>
        <w:adjustRightInd/>
        <w:snapToGrid/>
        <w:spacing w:line="240" w:lineRule="auto"/>
        <w:outlineLvl w:val="9"/>
        <w:rPr>
          <w:rFonts w:hint="eastAsia"/>
          <w:highlight w:val="none"/>
          <w:lang w:val="en-US" w:eastAsia="zh-CN"/>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baseline"/>
        <w:outlineLvl w:val="9"/>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专项工作清单</w:t>
      </w:r>
    </w:p>
    <w:p>
      <w:pPr>
        <w:pStyle w:val="2"/>
        <w:keepNext w:val="0"/>
        <w:keepLines w:val="0"/>
        <w:pageBreakBefore w:val="0"/>
        <w:widowControl w:val="0"/>
        <w:kinsoku/>
        <w:wordWrap/>
        <w:overflowPunct w:val="0"/>
        <w:topLinePunct/>
        <w:autoSpaceDE/>
        <w:autoSpaceDN/>
        <w:bidi w:val="0"/>
        <w:adjustRightInd/>
        <w:snapToGrid/>
        <w:spacing w:after="0" w:line="600" w:lineRule="exact"/>
        <w:textAlignment w:val="baseline"/>
        <w:outlineLvl w:val="9"/>
        <w:rPr>
          <w:rFonts w:hint="eastAsia" w:ascii="黑体" w:hAnsi="黑体" w:eastAsia="黑体" w:cs="黑体"/>
          <w:sz w:val="32"/>
          <w:szCs w:val="32"/>
          <w:highlight w:val="none"/>
          <w:lang w:val="en-US" w:eastAsia="zh-CN"/>
        </w:rPr>
      </w:pPr>
      <w:bookmarkStart w:id="0" w:name="_Hlk130285668"/>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lang w:val="en-US" w:eastAsia="zh-CN"/>
        </w:rPr>
        <w:t>1</w:t>
      </w:r>
    </w:p>
    <w:p>
      <w:pPr>
        <w:pStyle w:val="2"/>
        <w:keepNext w:val="0"/>
        <w:keepLines w:val="0"/>
        <w:pageBreakBefore w:val="0"/>
        <w:widowControl w:val="0"/>
        <w:kinsoku/>
        <w:wordWrap/>
        <w:overflowPunct w:val="0"/>
        <w:topLinePunct/>
        <w:autoSpaceDE/>
        <w:autoSpaceDN/>
        <w:bidi w:val="0"/>
        <w:adjustRightInd/>
        <w:snapToGrid/>
        <w:spacing w:after="0"/>
        <w:jc w:val="center"/>
        <w:textAlignment w:val="baseline"/>
        <w:outlineLvl w:val="9"/>
        <w:rPr>
          <w:rFonts w:ascii="方正小标宋简体" w:hAnsi="黑体" w:eastAsia="方正小标宋简体"/>
          <w:sz w:val="44"/>
          <w:szCs w:val="44"/>
          <w:highlight w:val="none"/>
        </w:rPr>
      </w:pPr>
      <w:bookmarkStart w:id="1" w:name="_Hlk132272990"/>
      <w:r>
        <w:rPr>
          <w:rFonts w:hint="eastAsia" w:ascii="方正小标宋_GBK" w:hAnsi="方正小标宋_GBK" w:eastAsia="方正小标宋_GBK" w:cs="方正小标宋_GBK"/>
          <w:sz w:val="44"/>
          <w:szCs w:val="44"/>
          <w:highlight w:val="none"/>
        </w:rPr>
        <w:t>5G网络共同进入重点场所清单</w:t>
      </w:r>
    </w:p>
    <w:bookmarkEnd w:id="0"/>
    <w:bookmarkEnd w:id="1"/>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37"/>
        <w:gridCol w:w="738"/>
        <w:gridCol w:w="738"/>
        <w:gridCol w:w="737"/>
        <w:gridCol w:w="738"/>
        <w:gridCol w:w="738"/>
        <w:gridCol w:w="738"/>
        <w:gridCol w:w="757"/>
        <w:gridCol w:w="757"/>
        <w:gridCol w:w="757"/>
        <w:gridCol w:w="757"/>
        <w:gridCol w:w="728"/>
        <w:gridCol w:w="729"/>
        <w:gridCol w:w="728"/>
        <w:gridCol w:w="729"/>
        <w:gridCol w:w="850"/>
        <w:gridCol w:w="113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5"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8192" w:type="dxa"/>
            <w:gridSpan w:val="11"/>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重点场所基本信息</w:t>
            </w:r>
          </w:p>
        </w:tc>
        <w:tc>
          <w:tcPr>
            <w:tcW w:w="6355" w:type="dxa"/>
            <w:gridSpan w:val="7"/>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5G网络共同进入季度进展情况（202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55"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73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所属城市</w:t>
            </w:r>
          </w:p>
        </w:tc>
        <w:tc>
          <w:tcPr>
            <w:tcW w:w="73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所属县区</w:t>
            </w:r>
          </w:p>
        </w:tc>
        <w:tc>
          <w:tcPr>
            <w:tcW w:w="737"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73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详细地址</w:t>
            </w:r>
          </w:p>
        </w:tc>
        <w:tc>
          <w:tcPr>
            <w:tcW w:w="73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类型</w:t>
            </w:r>
          </w:p>
        </w:tc>
        <w:tc>
          <w:tcPr>
            <w:tcW w:w="73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产权人</w:t>
            </w:r>
          </w:p>
        </w:tc>
        <w:tc>
          <w:tcPr>
            <w:tcW w:w="3028" w:type="dxa"/>
            <w:gridSpan w:val="4"/>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5G进入情况（是/否）</w:t>
            </w:r>
          </w:p>
        </w:tc>
        <w:tc>
          <w:tcPr>
            <w:tcW w:w="2914" w:type="dxa"/>
            <w:gridSpan w:val="4"/>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已进入（是/否）</w:t>
            </w:r>
          </w:p>
        </w:tc>
        <w:tc>
          <w:tcPr>
            <w:tcW w:w="3441" w:type="dxa"/>
            <w:gridSpan w:val="3"/>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5"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中国电信</w:t>
            </w: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移动</w:t>
            </w: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联通</w:t>
            </w: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中国广电</w:t>
            </w: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电信</w:t>
            </w: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移动</w:t>
            </w: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联通</w:t>
            </w: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中国广电</w:t>
            </w: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存在</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困难</w:t>
            </w: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预计进入时间</w:t>
            </w: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如不具备进入条件请详细说明情况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bookmarkStart w:id="2" w:name="_Hlk130375384"/>
            <w:r>
              <w:rPr>
                <w:rFonts w:hint="eastAsia" w:ascii="宋体" w:hAnsi="宋体" w:eastAsia="宋体" w:cs="宋体"/>
                <w:color w:val="000000"/>
                <w:kern w:val="0"/>
                <w:sz w:val="21"/>
                <w:szCs w:val="21"/>
                <w:highlight w:val="none"/>
              </w:rPr>
              <w:t>1</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3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2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3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45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bookmarkEnd w:id="2"/>
    </w:tbl>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right="0" w:rightChars="0" w:firstLine="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场所类型包括但不限于高等学校、职业学校、有条件的中小学校、社区托幼机构、二级及以上医院、疾病预防控制中心、社区卫生服务中心、民</w:t>
      </w:r>
    </w:p>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right="0" w:rightChars="0" w:firstLine="42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政服务机构、公共体育场所、公共文化场馆、重点旅游景区、产业园区、大型住宅区、港口客运站、地铁站、汽车站、火车站、机场等；2. 产权</w:t>
      </w:r>
    </w:p>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right="0" w:rightChars="0" w:firstLine="42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人填写重点场所的产权人、委托的人或物业服务企业。3. 上报年度清单时填写“重点场所基本信息”栏，上报季度清单时根据年度清单更新“5G</w:t>
      </w:r>
    </w:p>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right="0" w:rightChars="0" w:firstLine="42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网络共同进入季度进展情况”栏。</w:t>
      </w:r>
    </w:p>
    <w:p>
      <w:pPr>
        <w:pStyle w:val="2"/>
        <w:keepNext w:val="0"/>
        <w:keepLines w:val="0"/>
        <w:pageBreakBefore w:val="0"/>
        <w:widowControl w:val="0"/>
        <w:kinsoku/>
        <w:wordWrap/>
        <w:overflowPunct w:val="0"/>
        <w:topLinePunct/>
        <w:autoSpaceDE/>
        <w:autoSpaceDN/>
        <w:bidi w:val="0"/>
        <w:adjustRightInd/>
        <w:snapToGrid/>
        <w:spacing w:after="0" w:line="600" w:lineRule="exact"/>
        <w:textAlignment w:val="baseline"/>
        <w:outlineLvl w:val="9"/>
        <w:rPr>
          <w:rFonts w:hint="eastAsia" w:ascii="黑体" w:hAnsi="黑体" w:eastAsia="黑体" w:cs="黑体"/>
          <w:sz w:val="32"/>
          <w:szCs w:val="32"/>
          <w:highlight w:val="none"/>
          <w:lang w:val="en-US" w:eastAsia="zh-CN"/>
        </w:rPr>
      </w:pPr>
      <w:r>
        <w:rPr>
          <w:rFonts w:ascii="仿宋_GB2312" w:eastAsia="仿宋_GB2312"/>
          <w:color w:val="000000"/>
          <w:kern w:val="0"/>
          <w:sz w:val="24"/>
          <w:highlight w:val="none"/>
        </w:rPr>
        <w:br w:type="page"/>
      </w:r>
      <w:bookmarkStart w:id="3" w:name="_Hlk130285906"/>
      <w:r>
        <w:rPr>
          <w:rFonts w:hint="eastAsia" w:ascii="黑体" w:hAnsi="黑体" w:eastAsia="黑体" w:cs="黑体"/>
          <w:color w:val="000000"/>
          <w:kern w:val="0"/>
          <w:sz w:val="32"/>
          <w:szCs w:val="32"/>
          <w:highlight w:val="none"/>
          <w:lang w:eastAsia="zh-CN"/>
        </w:rPr>
        <w:t>表</w:t>
      </w:r>
      <w:r>
        <w:rPr>
          <w:rFonts w:hint="eastAsia" w:ascii="黑体" w:hAnsi="黑体" w:eastAsia="黑体" w:cs="黑体"/>
          <w:color w:val="000000"/>
          <w:kern w:val="0"/>
          <w:sz w:val="32"/>
          <w:szCs w:val="32"/>
          <w:highlight w:val="none"/>
          <w:lang w:val="en-US" w:eastAsia="zh-CN"/>
        </w:rPr>
        <w:t>2</w:t>
      </w:r>
    </w:p>
    <w:p>
      <w:pPr>
        <w:pStyle w:val="2"/>
        <w:keepNext w:val="0"/>
        <w:keepLines w:val="0"/>
        <w:pageBreakBefore w:val="0"/>
        <w:kinsoku/>
        <w:overflowPunct w:val="0"/>
        <w:topLinePunct/>
        <w:bidi w:val="0"/>
        <w:spacing w:afterLines="50"/>
        <w:jc w:val="center"/>
        <w:textAlignment w:val="baseline"/>
        <w:rPr>
          <w:rFonts w:hint="eastAsia" w:ascii="方正小标宋_GBK" w:hAnsi="方正小标宋_GBK" w:eastAsia="方正小标宋_GBK" w:cs="方正小标宋_GBK"/>
          <w:sz w:val="44"/>
          <w:szCs w:val="44"/>
          <w:highlight w:val="none"/>
        </w:rPr>
      </w:pPr>
      <w:bookmarkStart w:id="4" w:name="_Hlk132032738"/>
      <w:bookmarkStart w:id="5" w:name="_Hlk131408278"/>
      <w:bookmarkStart w:id="6" w:name="_Hlk132032550"/>
      <w:bookmarkStart w:id="7" w:name="_Hlk132033005"/>
      <w:r>
        <w:rPr>
          <w:rFonts w:hint="eastAsia" w:ascii="方正小标宋_GBK" w:hAnsi="方正小标宋_GBK" w:eastAsia="方正小标宋_GBK" w:cs="方正小标宋_GBK"/>
          <w:sz w:val="44"/>
          <w:szCs w:val="44"/>
          <w:highlight w:val="none"/>
        </w:rPr>
        <w:t>重点场所5G网络共同进入情况</w:t>
      </w:r>
      <w:bookmarkEnd w:id="4"/>
      <w:r>
        <w:rPr>
          <w:rFonts w:hint="eastAsia" w:ascii="方正小标宋_GBK" w:hAnsi="方正小标宋_GBK" w:eastAsia="方正小标宋_GBK" w:cs="方正小标宋_GBK"/>
          <w:sz w:val="44"/>
          <w:szCs w:val="44"/>
          <w:highlight w:val="none"/>
        </w:rPr>
        <w:t>统计表</w:t>
      </w:r>
    </w:p>
    <w:bookmarkEnd w:id="5"/>
    <w:bookmarkEnd w:id="6"/>
    <w:bookmarkEnd w:id="7"/>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418"/>
        <w:gridCol w:w="2683"/>
        <w:gridCol w:w="2410"/>
        <w:gridCol w:w="2976"/>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bookmarkStart w:id="8" w:name="_Hlk132035228"/>
            <w:r>
              <w:rPr>
                <w:rFonts w:hint="eastAsia" w:ascii="宋体" w:hAnsi="宋体" w:eastAsia="宋体" w:cs="宋体"/>
                <w:color w:val="000000"/>
                <w:kern w:val="0"/>
                <w:sz w:val="21"/>
                <w:szCs w:val="21"/>
                <w:highlight w:val="none"/>
              </w:rPr>
              <w:t>序号</w:t>
            </w:r>
          </w:p>
        </w:tc>
        <w:tc>
          <w:tcPr>
            <w:tcW w:w="113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1418"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重点场所</w:t>
            </w:r>
          </w:p>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总数</w:t>
            </w:r>
          </w:p>
        </w:tc>
        <w:tc>
          <w:tcPr>
            <w:tcW w:w="10489" w:type="dxa"/>
            <w:gridSpan w:val="4"/>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重点场所共同进入情况（202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13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418"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已共同进入数量</w:t>
            </w:r>
          </w:p>
        </w:tc>
        <w:tc>
          <w:tcPr>
            <w:tcW w:w="2410"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本季度共同进入数量</w:t>
            </w:r>
          </w:p>
        </w:tc>
        <w:tc>
          <w:tcPr>
            <w:tcW w:w="2976"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未共同进入重点场所数量</w:t>
            </w:r>
          </w:p>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20"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正在协调进入数量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13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418"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418"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8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97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2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bookmarkEnd w:id="8"/>
    </w:tbl>
    <w:p>
      <w:pPr>
        <w:pStyle w:val="2"/>
        <w:keepNext w:val="0"/>
        <w:keepLines w:val="0"/>
        <w:pageBreakBefore w:val="0"/>
        <w:kinsoku/>
        <w:overflowPunct w:val="0"/>
        <w:topLinePunct/>
        <w:bidi w:val="0"/>
        <w:spacing w:after="0" w:line="400" w:lineRule="exact"/>
        <w:ind w:left="-4" w:leftChars="-2" w:firstLine="2" w:firstLineChars="1"/>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注：表中“共同进入”原则上指3家及以上基础电信运营企业已具备5G进入能力。</w:t>
      </w:r>
    </w:p>
    <w:p>
      <w:pPr>
        <w:pStyle w:val="2"/>
        <w:keepNext w:val="0"/>
        <w:keepLines w:val="0"/>
        <w:pageBreakBefore w:val="0"/>
        <w:kinsoku/>
        <w:overflowPunct w:val="0"/>
        <w:topLinePunct/>
        <w:bidi w:val="0"/>
        <w:textAlignment w:val="baseline"/>
        <w:rPr>
          <w:rFonts w:hint="eastAsia" w:ascii="黑体" w:hAnsi="黑体" w:eastAsia="黑体"/>
          <w:sz w:val="32"/>
          <w:szCs w:val="32"/>
          <w:highlight w:val="none"/>
        </w:rPr>
        <w:sectPr>
          <w:headerReference r:id="rId5" w:type="default"/>
          <w:footerReference r:id="rId6" w:type="default"/>
          <w:pgSz w:w="16838" w:h="11906" w:orient="landscape"/>
          <w:pgMar w:top="1531" w:right="1531" w:bottom="1531" w:left="1531" w:header="907" w:footer="851" w:gutter="0"/>
          <w:pgNumType w:fmt="decimal"/>
          <w:cols w:space="720" w:num="1"/>
          <w:docGrid w:linePitch="312" w:charSpace="0"/>
        </w:sectPr>
      </w:pPr>
    </w:p>
    <w:p>
      <w:pPr>
        <w:pStyle w:val="2"/>
        <w:keepNext w:val="0"/>
        <w:keepLines w:val="0"/>
        <w:pageBreakBefore w:val="0"/>
        <w:widowControl w:val="0"/>
        <w:kinsoku/>
        <w:wordWrap/>
        <w:overflowPunct w:val="0"/>
        <w:topLinePunct/>
        <w:autoSpaceDE/>
        <w:autoSpaceDN/>
        <w:bidi w:val="0"/>
        <w:adjustRightInd/>
        <w:snapToGrid/>
        <w:spacing w:after="0" w:line="240" w:lineRule="auto"/>
        <w:ind w:left="0" w:leftChars="0" w:right="0" w:rightChars="0" w:firstLine="0" w:firstLineChars="0"/>
        <w:textAlignment w:val="baseline"/>
        <w:outlineLvl w:val="9"/>
        <w:rPr>
          <w:rFonts w:hint="eastAsia" w:ascii="黑体" w:hAnsi="黑体" w:eastAsia="黑体" w:cs="黑体"/>
          <w:sz w:val="32"/>
          <w:szCs w:val="32"/>
          <w:highlight w:val="none"/>
          <w:lang w:val="en-US" w:eastAsia="zh-CN"/>
        </w:rPr>
      </w:pPr>
      <w:bookmarkStart w:id="9" w:name="_Hlk132206185"/>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lang w:val="en-US" w:eastAsia="zh-CN"/>
        </w:rPr>
        <w:t>3</w:t>
      </w:r>
    </w:p>
    <w:p>
      <w:pPr>
        <w:pStyle w:val="2"/>
        <w:keepNext w:val="0"/>
        <w:keepLines w:val="0"/>
        <w:pageBreakBefore w:val="0"/>
        <w:widowControl w:val="0"/>
        <w:kinsoku/>
        <w:wordWrap/>
        <w:overflowPunct w:val="0"/>
        <w:topLinePunct/>
        <w:autoSpaceDE/>
        <w:autoSpaceDN/>
        <w:bidi w:val="0"/>
        <w:adjustRightInd/>
        <w:snapToGrid/>
        <w:spacing w:after="0"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highlight w:val="none"/>
        </w:rPr>
      </w:pPr>
      <w:bookmarkStart w:id="10" w:name="_Hlk132273032"/>
      <w:r>
        <w:rPr>
          <w:rFonts w:hint="eastAsia" w:ascii="方正小标宋_GBK" w:hAnsi="方正小标宋_GBK" w:eastAsia="方正小标宋_GBK" w:cs="方正小标宋_GBK"/>
          <w:sz w:val="44"/>
          <w:szCs w:val="44"/>
          <w:highlight w:val="none"/>
        </w:rPr>
        <w:t>未有或仅有一家基础电信运营企业宽带网络接入的建筑物清单</w:t>
      </w:r>
    </w:p>
    <w:bookmarkEnd w:id="10"/>
    <w:tbl>
      <w:tblPr>
        <w:tblStyle w:val="5"/>
        <w:tblpPr w:leftFromText="180" w:rightFromText="180" w:vertAnchor="text" w:horzAnchor="page" w:tblpX="971" w:tblpY="3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87"/>
        <w:gridCol w:w="708"/>
        <w:gridCol w:w="709"/>
        <w:gridCol w:w="567"/>
        <w:gridCol w:w="709"/>
        <w:gridCol w:w="709"/>
        <w:gridCol w:w="850"/>
        <w:gridCol w:w="709"/>
        <w:gridCol w:w="709"/>
        <w:gridCol w:w="708"/>
        <w:gridCol w:w="709"/>
        <w:gridCol w:w="709"/>
        <w:gridCol w:w="744"/>
        <w:gridCol w:w="744"/>
        <w:gridCol w:w="744"/>
        <w:gridCol w:w="745"/>
        <w:gridCol w:w="708"/>
        <w:gridCol w:w="99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bookmarkStart w:id="11" w:name="_Hlk132207812"/>
            <w:r>
              <w:rPr>
                <w:rFonts w:hint="eastAsia" w:ascii="宋体" w:hAnsi="宋体" w:eastAsia="宋体" w:cs="宋体"/>
                <w:color w:val="000000"/>
                <w:kern w:val="0"/>
                <w:sz w:val="21"/>
                <w:szCs w:val="21"/>
                <w:highlight w:val="none"/>
              </w:rPr>
              <w:t>序号</w:t>
            </w:r>
          </w:p>
        </w:tc>
        <w:tc>
          <w:tcPr>
            <w:tcW w:w="8283" w:type="dxa"/>
            <w:gridSpan w:val="12"/>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建筑物基本信息</w:t>
            </w:r>
          </w:p>
        </w:tc>
        <w:tc>
          <w:tcPr>
            <w:tcW w:w="6181" w:type="dxa"/>
            <w:gridSpan w:val="7"/>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建筑物宽带接入季度进展情况（202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  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487"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708"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所属城市</w:t>
            </w:r>
          </w:p>
        </w:tc>
        <w:tc>
          <w:tcPr>
            <w:tcW w:w="709"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所属县区</w:t>
            </w:r>
          </w:p>
        </w:tc>
        <w:tc>
          <w:tcPr>
            <w:tcW w:w="567"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709"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详细地址</w:t>
            </w:r>
          </w:p>
        </w:tc>
        <w:tc>
          <w:tcPr>
            <w:tcW w:w="709"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类型</w:t>
            </w:r>
          </w:p>
        </w:tc>
        <w:tc>
          <w:tcPr>
            <w:tcW w:w="8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产权人</w:t>
            </w:r>
          </w:p>
        </w:tc>
        <w:tc>
          <w:tcPr>
            <w:tcW w:w="3544" w:type="dxa"/>
            <w:gridSpan w:val="5"/>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宽带接入情况（是/否）</w:t>
            </w:r>
          </w:p>
        </w:tc>
        <w:tc>
          <w:tcPr>
            <w:tcW w:w="2977" w:type="dxa"/>
            <w:gridSpan w:val="4"/>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已接入（是/否）</w:t>
            </w:r>
          </w:p>
        </w:tc>
        <w:tc>
          <w:tcPr>
            <w:tcW w:w="3204" w:type="dxa"/>
            <w:gridSpan w:val="3"/>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6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48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vMerge w:val="continue"/>
            <w:noWrap w:val="0"/>
            <w:vAlign w:val="center"/>
          </w:tcPr>
          <w:p>
            <w:pPr>
              <w:pStyle w:val="2"/>
              <w:keepNext w:val="0"/>
              <w:keepLines w:val="0"/>
              <w:pageBreakBefore w:val="0"/>
              <w:kinsoku/>
              <w:overflowPunct w:val="0"/>
              <w:topLinePunct/>
              <w:bidi w:val="0"/>
              <w:spacing w:after="0"/>
              <w:textAlignment w:val="baseline"/>
              <w:rPr>
                <w:rFonts w:hint="eastAsia" w:ascii="宋体" w:hAnsi="宋体" w:eastAsia="宋体" w:cs="宋体"/>
                <w:color w:val="000000"/>
                <w:kern w:val="0"/>
                <w:sz w:val="21"/>
                <w:szCs w:val="21"/>
                <w:highlight w:val="none"/>
              </w:rPr>
            </w:pPr>
          </w:p>
        </w:tc>
        <w:tc>
          <w:tcPr>
            <w:tcW w:w="709"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电信</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lang w:eastAsia="zh-CN"/>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移动</w:t>
            </w: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联通</w:t>
            </w: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中国广电</w:t>
            </w: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代理</w:t>
            </w: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电信</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移动</w:t>
            </w: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联通</w:t>
            </w: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中国广电</w:t>
            </w: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存在</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困难</w:t>
            </w: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预计接入时间</w:t>
            </w: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如不具备接入条件请详细说明情况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48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567"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9"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4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08"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03"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bl>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firstLine="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p>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firstLine="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 建筑物类型包括住宅区和住宅建筑、商务楼宇等；</w:t>
      </w:r>
    </w:p>
    <w:bookmarkEnd w:id="11"/>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firstLine="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 产权人填写住宅区和住宅建筑、商务楼宇的产权人及其委托的管理人、物业服务企业。</w:t>
      </w:r>
    </w:p>
    <w:p>
      <w:pPr>
        <w:keepNext w:val="0"/>
        <w:keepLines w:val="0"/>
        <w:pageBreakBefore w:val="0"/>
        <w:widowControl w:val="0"/>
        <w:kinsoku/>
        <w:wordWrap/>
        <w:overflowPunct w:val="0"/>
        <w:topLinePunct/>
        <w:autoSpaceDE/>
        <w:autoSpaceDN/>
        <w:bidi w:val="0"/>
        <w:adjustRightInd/>
        <w:snapToGrid/>
        <w:spacing w:after="120" w:line="400" w:lineRule="exact"/>
        <w:ind w:left="0" w:leftChars="0" w:right="-823" w:rightChars="-392" w:firstLine="0" w:firstLineChars="0"/>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 上报年度清单时填写“建筑物基本信息”栏，上报季度清单时根据年度清单更新“建筑物宽带接入季度进展情况”栏。</w:t>
      </w:r>
    </w:p>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firstLine="0" w:firstLineChars="0"/>
        <w:textAlignment w:val="baseline"/>
        <w:outlineLvl w:val="9"/>
        <w:rPr>
          <w:rFonts w:hint="eastAsia" w:eastAsia="仿宋_GB2312"/>
          <w:color w:val="000000"/>
          <w:kern w:val="0"/>
          <w:sz w:val="24"/>
          <w:highlight w:val="none"/>
        </w:rPr>
        <w:sectPr>
          <w:pgSz w:w="16838" w:h="11906" w:orient="landscape"/>
          <w:pgMar w:top="1531" w:right="1531" w:bottom="1531" w:left="1531" w:header="907" w:footer="851" w:gutter="0"/>
          <w:pgNumType w:fmt="decimal"/>
          <w:cols w:space="720" w:num="1"/>
          <w:docGrid w:linePitch="312" w:charSpace="0"/>
        </w:sectPr>
      </w:pPr>
    </w:p>
    <w:p>
      <w:pPr>
        <w:pStyle w:val="2"/>
        <w:keepNext w:val="0"/>
        <w:keepLines w:val="0"/>
        <w:pageBreakBefore w:val="0"/>
        <w:widowControl w:val="0"/>
        <w:kinsoku/>
        <w:wordWrap/>
        <w:overflowPunct w:val="0"/>
        <w:topLinePunct/>
        <w:autoSpaceDE/>
        <w:autoSpaceDN/>
        <w:bidi w:val="0"/>
        <w:adjustRightInd/>
        <w:snapToGrid/>
        <w:spacing w:after="0" w:line="240" w:lineRule="auto"/>
        <w:ind w:left="0" w:leftChars="0" w:right="0" w:rightChars="0" w:firstLine="0" w:firstLineChars="0"/>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rPr>
        <w:t>4</w:t>
      </w:r>
      <w:bookmarkEnd w:id="9"/>
      <w:bookmarkStart w:id="12" w:name="_Hlk132273065"/>
    </w:p>
    <w:p>
      <w:pPr>
        <w:pStyle w:val="2"/>
        <w:keepNext w:val="0"/>
        <w:keepLines w:val="0"/>
        <w:pageBreakBefore w:val="0"/>
        <w:widowControl w:val="0"/>
        <w:kinsoku/>
        <w:wordWrap/>
        <w:overflowPunct w:val="0"/>
        <w:topLinePunct/>
        <w:autoSpaceDE/>
        <w:autoSpaceDN/>
        <w:bidi w:val="0"/>
        <w:adjustRightInd/>
        <w:snapToGrid/>
        <w:spacing w:after="0"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建筑物宽带网络平等接入情况统计表</w:t>
      </w:r>
    </w:p>
    <w:tbl>
      <w:tblPr>
        <w:tblStyle w:val="5"/>
        <w:tblpPr w:leftFromText="180" w:rightFromText="180" w:vertAnchor="text" w:horzAnchor="page" w:tblpX="1612"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984"/>
        <w:gridCol w:w="1985"/>
        <w:gridCol w:w="1704"/>
        <w:gridCol w:w="1981"/>
        <w:gridCol w:w="171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bookmarkStart w:id="13" w:name="_Hlk132035251"/>
            <w:r>
              <w:rPr>
                <w:rFonts w:hint="eastAsia" w:ascii="宋体" w:hAnsi="宋体" w:eastAsia="宋体" w:cs="宋体"/>
                <w:color w:val="000000"/>
                <w:kern w:val="0"/>
                <w:sz w:val="21"/>
                <w:szCs w:val="21"/>
                <w:highlight w:val="none"/>
              </w:rPr>
              <w:t>序号</w:t>
            </w:r>
          </w:p>
        </w:tc>
        <w:tc>
          <w:tcPr>
            <w:tcW w:w="113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4820" w:type="dxa"/>
            <w:gridSpan w:val="3"/>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未有或仅有一家基础电信运营企业宽带网络接入的建筑物</w:t>
            </w:r>
          </w:p>
        </w:tc>
        <w:tc>
          <w:tcPr>
            <w:tcW w:w="7242" w:type="dxa"/>
            <w:gridSpan w:val="4"/>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建筑物宽带平等接入情况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4" w:type="dxa"/>
            <w:vMerge w:val="continue"/>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1134" w:type="dxa"/>
            <w:vMerge w:val="continue"/>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总数</w:t>
            </w:r>
          </w:p>
        </w:tc>
        <w:tc>
          <w:tcPr>
            <w:tcW w:w="1984"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未提出接入需求的建筑物数量</w:t>
            </w:r>
          </w:p>
        </w:tc>
        <w:tc>
          <w:tcPr>
            <w:tcW w:w="1985"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提出接入需求的建筑物数量</w:t>
            </w:r>
          </w:p>
        </w:tc>
        <w:tc>
          <w:tcPr>
            <w:tcW w:w="1704"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已平等接入</w:t>
            </w:r>
          </w:p>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数量</w:t>
            </w:r>
          </w:p>
        </w:tc>
        <w:tc>
          <w:tcPr>
            <w:tcW w:w="1981"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本季度按需平等接入数量</w:t>
            </w:r>
          </w:p>
        </w:tc>
        <w:tc>
          <w:tcPr>
            <w:tcW w:w="1711"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未按需平等</w:t>
            </w:r>
          </w:p>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接入数量</w:t>
            </w:r>
          </w:p>
        </w:tc>
        <w:tc>
          <w:tcPr>
            <w:tcW w:w="1846" w:type="dxa"/>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正在协调按需平等接入数量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85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5"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04"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98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711"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846"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bookmarkEnd w:id="12"/>
      <w:bookmarkEnd w:id="13"/>
    </w:tbl>
    <w:p>
      <w:pPr>
        <w:pStyle w:val="2"/>
        <w:keepNext w:val="0"/>
        <w:keepLines w:val="0"/>
        <w:pageBreakBefore w:val="0"/>
        <w:kinsoku/>
        <w:overflowPunct w:val="0"/>
        <w:topLinePunct/>
        <w:bidi w:val="0"/>
        <w:spacing w:after="0" w:line="400" w:lineRule="exact"/>
        <w:ind w:left="-4" w:leftChars="-2" w:firstLine="2" w:firstLineChars="1"/>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p>
    <w:p>
      <w:pPr>
        <w:pStyle w:val="2"/>
        <w:keepNext w:val="0"/>
        <w:keepLines w:val="0"/>
        <w:pageBreakBefore w:val="0"/>
        <w:kinsoku/>
        <w:overflowPunct w:val="0"/>
        <w:topLinePunct/>
        <w:bidi w:val="0"/>
        <w:spacing w:after="0" w:line="400" w:lineRule="exact"/>
        <w:ind w:left="-4" w:leftChars="-2" w:firstLine="2" w:firstLineChars="1"/>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1.“已平等接入数量”包括“未提出接入需求的建筑物数量”和“按需平等接入数量”；</w:t>
      </w:r>
    </w:p>
    <w:p>
      <w:pPr>
        <w:pStyle w:val="2"/>
        <w:keepNext w:val="0"/>
        <w:keepLines w:val="0"/>
        <w:pageBreakBefore w:val="0"/>
        <w:kinsoku/>
        <w:overflowPunct w:val="0"/>
        <w:topLinePunct/>
        <w:bidi w:val="0"/>
        <w:spacing w:after="0" w:line="400" w:lineRule="exact"/>
        <w:ind w:left="-4" w:leftChars="-2" w:firstLine="2" w:firstLineChars="1"/>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2.“按需平等接入”指原则上不少于两家基础电信运营企业共同进入提出接入需求的建筑物。</w:t>
      </w:r>
    </w:p>
    <w:p>
      <w:pPr>
        <w:keepNext w:val="0"/>
        <w:keepLines w:val="0"/>
        <w:pageBreakBefore w:val="0"/>
        <w:kinsoku/>
        <w:overflowPunct w:val="0"/>
        <w:topLinePunct/>
        <w:bidi w:val="0"/>
        <w:spacing w:after="120" w:afterLines="50"/>
        <w:jc w:val="center"/>
        <w:textAlignment w:val="baseline"/>
        <w:rPr>
          <w:rFonts w:eastAsia="仿宋_GB2312"/>
          <w:b/>
          <w:bCs/>
          <w:color w:val="000000"/>
          <w:kern w:val="0"/>
          <w:sz w:val="28"/>
          <w:szCs w:val="28"/>
          <w:highlight w:val="none"/>
        </w:rPr>
        <w:sectPr>
          <w:pgSz w:w="16838" w:h="11906" w:orient="landscape"/>
          <w:pgMar w:top="1531" w:right="1531" w:bottom="1531" w:left="1531" w:header="907" w:footer="851" w:gutter="0"/>
          <w:pgNumType w:fmt="decimal"/>
          <w:cols w:space="720" w:num="1"/>
          <w:docGrid w:linePitch="312" w:charSpace="0"/>
        </w:sectPr>
      </w:pPr>
    </w:p>
    <w:bookmarkEnd w:id="3"/>
    <w:p>
      <w:pPr>
        <w:pStyle w:val="2"/>
        <w:keepNext w:val="0"/>
        <w:keepLines w:val="0"/>
        <w:pageBreakBefore w:val="0"/>
        <w:widowControl w:val="0"/>
        <w:kinsoku/>
        <w:wordWrap/>
        <w:overflowPunct w:val="0"/>
        <w:topLinePunct/>
        <w:autoSpaceDE/>
        <w:autoSpaceDN/>
        <w:bidi w:val="0"/>
        <w:adjustRightInd/>
        <w:snapToGrid/>
        <w:spacing w:after="0" w:line="240" w:lineRule="auto"/>
        <w:ind w:left="0" w:leftChars="0" w:right="0" w:rightChars="0" w:firstLine="0" w:firstLineChars="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rPr>
        <w:t>5</w:t>
      </w:r>
    </w:p>
    <w:p>
      <w:pPr>
        <w:pStyle w:val="2"/>
        <w:keepNext w:val="0"/>
        <w:keepLines w:val="0"/>
        <w:pageBreakBefore w:val="0"/>
        <w:widowControl w:val="0"/>
        <w:kinsoku/>
        <w:wordWrap/>
        <w:overflowPunct w:val="0"/>
        <w:topLinePunct/>
        <w:autoSpaceDE/>
        <w:autoSpaceDN/>
        <w:bidi w:val="0"/>
        <w:adjustRightInd/>
        <w:snapToGrid/>
        <w:spacing w:after="0"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农村杆线共治共维完成情况统计表</w:t>
      </w:r>
    </w:p>
    <w:tbl>
      <w:tblPr>
        <w:tblStyle w:val="5"/>
        <w:tblpPr w:leftFromText="180" w:rightFromText="180" w:vertAnchor="text" w:horzAnchor="page" w:tblpX="1012"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96"/>
        <w:gridCol w:w="896"/>
        <w:gridCol w:w="896"/>
        <w:gridCol w:w="994"/>
        <w:gridCol w:w="994"/>
        <w:gridCol w:w="920"/>
        <w:gridCol w:w="921"/>
        <w:gridCol w:w="1631"/>
        <w:gridCol w:w="1843"/>
        <w:gridCol w:w="1115"/>
        <w:gridCol w:w="1116"/>
        <w:gridCol w:w="111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42"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8148" w:type="dxa"/>
            <w:gridSpan w:val="8"/>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农村杆线共治共维项目基本信息</w:t>
            </w:r>
          </w:p>
        </w:tc>
        <w:tc>
          <w:tcPr>
            <w:tcW w:w="1843" w:type="dxa"/>
            <w:vMerge w:val="restart"/>
            <w:noWrap w:val="0"/>
            <w:vAlign w:val="center"/>
          </w:tcPr>
          <w:p>
            <w:pPr>
              <w:keepNext w:val="0"/>
              <w:keepLines w:val="0"/>
              <w:pageBreakBefore w:val="0"/>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共治共维</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4462" w:type="dxa"/>
            <w:gridSpan w:val="4"/>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共治共维项目参与单位（是/否）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42"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城市</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县区</w:t>
            </w: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乡镇</w:t>
            </w: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行政村</w:t>
            </w: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金额</w:t>
            </w:r>
          </w:p>
        </w:tc>
        <w:tc>
          <w:tcPr>
            <w:tcW w:w="163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共治共维前</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情况描述</w:t>
            </w:r>
          </w:p>
        </w:tc>
        <w:tc>
          <w:tcPr>
            <w:tcW w:w="1843" w:type="dxa"/>
            <w:vMerge w:val="continue"/>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电信</w:t>
            </w: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移动</w:t>
            </w: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联通</w:t>
            </w: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中国</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广电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89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4"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2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631"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843" w:type="dxa"/>
            <w:noWrap w:val="0"/>
            <w:vAlign w:val="top"/>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11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bl>
    <w:p>
      <w:pPr>
        <w:pStyle w:val="2"/>
        <w:keepNext w:val="0"/>
        <w:keepLines w:val="0"/>
        <w:pageBreakBefore w:val="0"/>
        <w:widowControl w:val="0"/>
        <w:kinsoku/>
        <w:wordWrap/>
        <w:overflowPunct w:val="0"/>
        <w:topLinePunct/>
        <w:autoSpaceDE/>
        <w:autoSpaceDN/>
        <w:bidi w:val="0"/>
        <w:adjustRightInd/>
        <w:snapToGrid/>
        <w:spacing w:after="0" w:line="400" w:lineRule="exact"/>
        <w:ind w:left="0" w:leftChars="0" w:firstLine="0" w:firstLineChars="0"/>
        <w:textAlignment w:val="baseline"/>
        <w:outlineLvl w:val="9"/>
        <w:rPr>
          <w:rFonts w:hint="eastAsia" w:eastAsia="仿宋_GB2312"/>
          <w:color w:val="000000"/>
          <w:kern w:val="0"/>
          <w:sz w:val="24"/>
          <w:highlight w:val="none"/>
        </w:rPr>
      </w:pPr>
      <w:r>
        <w:rPr>
          <w:rFonts w:hint="eastAsia" w:ascii="宋体" w:hAnsi="宋体" w:eastAsia="宋体" w:cs="宋体"/>
          <w:color w:val="000000"/>
          <w:kern w:val="0"/>
          <w:sz w:val="21"/>
          <w:szCs w:val="21"/>
          <w:highlight w:val="none"/>
        </w:rPr>
        <w:t>注：该统计表按年度进行报送。</w:t>
      </w:r>
    </w:p>
    <w:p>
      <w:pPr>
        <w:pStyle w:val="2"/>
        <w:keepNext w:val="0"/>
        <w:keepLines w:val="0"/>
        <w:pageBreakBefore w:val="0"/>
        <w:widowControl w:val="0"/>
        <w:kinsoku/>
        <w:wordWrap/>
        <w:overflowPunct w:val="0"/>
        <w:topLinePunct/>
        <w:autoSpaceDE/>
        <w:autoSpaceDN/>
        <w:bidi w:val="0"/>
        <w:adjustRightInd/>
        <w:snapToGrid/>
        <w:spacing w:after="0"/>
        <w:textAlignment w:val="baseline"/>
        <w:outlineLvl w:val="9"/>
        <w:rPr>
          <w:rFonts w:hint="eastAsia" w:ascii="黑体" w:hAnsi="黑体" w:eastAsia="黑体" w:cs="黑体"/>
          <w:sz w:val="32"/>
          <w:szCs w:val="32"/>
          <w:highlight w:val="none"/>
        </w:rPr>
      </w:pPr>
      <w:r>
        <w:rPr>
          <w:rFonts w:ascii="仿宋_GB2312" w:eastAsia="仿宋_GB2312"/>
          <w:color w:val="000000"/>
          <w:kern w:val="0"/>
          <w:sz w:val="24"/>
          <w:highlight w:val="none"/>
        </w:rPr>
        <w:br w:type="page"/>
      </w:r>
      <w:bookmarkStart w:id="14" w:name="_Hlk132206265"/>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rPr>
        <w:t>6</w:t>
      </w:r>
      <w:bookmarkStart w:id="15" w:name="_Hlk132273121"/>
    </w:p>
    <w:p>
      <w:pPr>
        <w:pStyle w:val="2"/>
        <w:keepNext w:val="0"/>
        <w:keepLines w:val="0"/>
        <w:pageBreakBefore w:val="0"/>
        <w:widowControl w:val="0"/>
        <w:kinsoku/>
        <w:wordWrap/>
        <w:overflowPunct w:val="0"/>
        <w:topLinePunct/>
        <w:autoSpaceDE/>
        <w:autoSpaceDN/>
        <w:bidi w:val="0"/>
        <w:adjustRightInd/>
        <w:snapToGrid/>
        <w:spacing w:after="0"/>
        <w:jc w:val="center"/>
        <w:textAlignment w:val="baseline"/>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电信基础设施跨行业共享需求清单</w:t>
      </w:r>
      <w:bookmarkEnd w:id="15"/>
    </w:p>
    <w:tbl>
      <w:tblPr>
        <w:tblStyle w:val="5"/>
        <w:tblpPr w:leftFromText="180" w:rightFromText="180" w:vertAnchor="text" w:horzAnchor="page" w:tblpX="1626"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750"/>
        <w:gridCol w:w="750"/>
        <w:gridCol w:w="750"/>
        <w:gridCol w:w="750"/>
        <w:gridCol w:w="750"/>
        <w:gridCol w:w="750"/>
        <w:gridCol w:w="750"/>
        <w:gridCol w:w="750"/>
        <w:gridCol w:w="991"/>
        <w:gridCol w:w="1559"/>
        <w:gridCol w:w="1276"/>
        <w:gridCol w:w="1282"/>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6991" w:type="dxa"/>
            <w:gridSpan w:val="9"/>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bookmarkStart w:id="16" w:name="_Hlk133157812"/>
            <w:r>
              <w:rPr>
                <w:rFonts w:hint="eastAsia" w:ascii="宋体" w:hAnsi="宋体" w:eastAsia="宋体" w:cs="宋体"/>
                <w:color w:val="000000"/>
                <w:kern w:val="0"/>
                <w:sz w:val="21"/>
                <w:szCs w:val="21"/>
                <w:highlight w:val="none"/>
              </w:rPr>
              <w:t>跨行业共享资源需求信息</w:t>
            </w:r>
            <w:bookmarkEnd w:id="16"/>
          </w:p>
        </w:tc>
        <w:tc>
          <w:tcPr>
            <w:tcW w:w="6282" w:type="dxa"/>
            <w:gridSpan w:val="4"/>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bookmarkStart w:id="17" w:name="_Hlk133157858"/>
            <w:r>
              <w:rPr>
                <w:rFonts w:hint="eastAsia" w:ascii="宋体" w:hAnsi="宋体" w:eastAsia="宋体" w:cs="宋体"/>
                <w:color w:val="000000"/>
                <w:kern w:val="0"/>
                <w:sz w:val="21"/>
                <w:szCs w:val="21"/>
                <w:highlight w:val="none"/>
              </w:rPr>
              <w:t>跨行业共享需求季度满足情况</w:t>
            </w:r>
            <w:bookmarkEnd w:id="17"/>
            <w:r>
              <w:rPr>
                <w:rFonts w:hint="eastAsia" w:ascii="宋体" w:hAnsi="宋体" w:eastAsia="宋体" w:cs="宋体"/>
                <w:color w:val="000000"/>
                <w:kern w:val="0"/>
                <w:sz w:val="21"/>
                <w:szCs w:val="21"/>
                <w:highlight w:val="none"/>
              </w:rPr>
              <w:t>（202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所属城市</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所属县区</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资源</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资源类型</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详细地址</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产权人</w:t>
            </w:r>
          </w:p>
        </w:tc>
        <w:tc>
          <w:tcPr>
            <w:tcW w:w="750"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归属行业</w:t>
            </w:r>
          </w:p>
        </w:tc>
        <w:tc>
          <w:tcPr>
            <w:tcW w:w="991"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需求提出方</w:t>
            </w:r>
          </w:p>
        </w:tc>
        <w:tc>
          <w:tcPr>
            <w:tcW w:w="1559" w:type="dxa"/>
            <w:vMerge w:val="restart"/>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已满足</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（满足时间）</w:t>
            </w:r>
          </w:p>
        </w:tc>
        <w:tc>
          <w:tcPr>
            <w:tcW w:w="4723" w:type="dxa"/>
            <w:gridSpan w:val="3"/>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42"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tcBorders>
              <w:bottom w:val="nil"/>
            </w:tcBorders>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vMerge w:val="continue"/>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存在困难</w:t>
            </w: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预计</w:t>
            </w:r>
          </w:p>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满足时间</w:t>
            </w: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如不具备满足条件请详细说明情况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750"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991"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559"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76"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1282"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c>
          <w:tcPr>
            <w:tcW w:w="2165" w:type="dxa"/>
            <w:noWrap w:val="0"/>
            <w:vAlign w:val="center"/>
          </w:tcPr>
          <w:p>
            <w:pPr>
              <w:pStyle w:val="2"/>
              <w:keepNext w:val="0"/>
              <w:keepLines w:val="0"/>
              <w:pageBreakBefore w:val="0"/>
              <w:kinsoku/>
              <w:overflowPunct w:val="0"/>
              <w:topLinePunct/>
              <w:bidi w:val="0"/>
              <w:spacing w:after="0"/>
              <w:jc w:val="center"/>
              <w:textAlignment w:val="baseline"/>
              <w:rPr>
                <w:rFonts w:hint="eastAsia" w:ascii="宋体" w:hAnsi="宋体" w:eastAsia="宋体" w:cs="宋体"/>
                <w:color w:val="000000"/>
                <w:kern w:val="0"/>
                <w:sz w:val="21"/>
                <w:szCs w:val="21"/>
                <w:highlight w:val="none"/>
              </w:rPr>
            </w:pPr>
          </w:p>
        </w:tc>
      </w:tr>
    </w:tbl>
    <w:p>
      <w:pPr>
        <w:pStyle w:val="2"/>
        <w:keepNext w:val="0"/>
        <w:keepLines w:val="0"/>
        <w:pageBreakBefore w:val="0"/>
        <w:widowControl w:val="0"/>
        <w:kinsoku/>
        <w:wordWrap/>
        <w:overflowPunct w:val="0"/>
        <w:topLinePunct/>
        <w:autoSpaceDE/>
        <w:autoSpaceDN/>
        <w:bidi w:val="0"/>
        <w:adjustRightInd/>
        <w:snapToGrid/>
        <w:spacing w:after="0" w:line="400" w:lineRule="exact"/>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p>
    <w:p>
      <w:pPr>
        <w:pStyle w:val="2"/>
        <w:keepNext w:val="0"/>
        <w:keepLines w:val="0"/>
        <w:pageBreakBefore w:val="0"/>
        <w:widowControl w:val="0"/>
        <w:kinsoku/>
        <w:wordWrap/>
        <w:overflowPunct w:val="0"/>
        <w:topLinePunct/>
        <w:autoSpaceDE/>
        <w:autoSpaceDN/>
        <w:bidi w:val="0"/>
        <w:adjustRightInd/>
        <w:snapToGrid/>
        <w:spacing w:after="0" w:line="400" w:lineRule="exact"/>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1.“资源类型”包括但不限于杆塔、管道、管廊、隧道、光缆、机房等。</w:t>
      </w:r>
    </w:p>
    <w:p>
      <w:pPr>
        <w:pStyle w:val="2"/>
        <w:keepNext w:val="0"/>
        <w:keepLines w:val="0"/>
        <w:pageBreakBefore w:val="0"/>
        <w:widowControl w:val="0"/>
        <w:kinsoku/>
        <w:wordWrap/>
        <w:overflowPunct w:val="0"/>
        <w:topLinePunct/>
        <w:autoSpaceDE/>
        <w:autoSpaceDN/>
        <w:bidi w:val="0"/>
        <w:adjustRightInd/>
        <w:snapToGrid/>
        <w:spacing w:after="0" w:line="400" w:lineRule="exact"/>
        <w:textAlignment w:val="baseline"/>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2.“归属行业”包括电力、市政、高速公路、铁路、通信及其他。</w:t>
      </w:r>
    </w:p>
    <w:p>
      <w:pPr>
        <w:pStyle w:val="2"/>
        <w:keepNext w:val="0"/>
        <w:keepLines w:val="0"/>
        <w:pageBreakBefore w:val="0"/>
        <w:widowControl w:val="0"/>
        <w:kinsoku/>
        <w:wordWrap/>
        <w:overflowPunct w:val="0"/>
        <w:topLinePunct/>
        <w:autoSpaceDE/>
        <w:autoSpaceDN/>
        <w:bidi w:val="0"/>
        <w:adjustRightInd/>
        <w:snapToGrid/>
        <w:spacing w:after="0" w:line="400" w:lineRule="exact"/>
        <w:textAlignment w:val="baseline"/>
        <w:outlineLvl w:val="9"/>
        <w:rPr>
          <w:rFonts w:eastAsia="仿宋_GB2312"/>
          <w:color w:val="000000"/>
          <w:kern w:val="0"/>
          <w:sz w:val="24"/>
          <w:highlight w:val="none"/>
        </w:rPr>
        <w:sectPr>
          <w:pgSz w:w="16838" w:h="11906" w:orient="landscape"/>
          <w:pgMar w:top="1531" w:right="1531" w:bottom="1531" w:left="1531" w:header="907" w:footer="851" w:gutter="0"/>
          <w:pgNumType w:fmt="decimal"/>
          <w:cols w:space="720" w:num="1"/>
          <w:docGrid w:linePitch="312" w:charSpace="0"/>
        </w:sectPr>
      </w:pPr>
      <w:r>
        <w:rPr>
          <w:rFonts w:hint="eastAsia" w:ascii="宋体" w:hAnsi="宋体" w:eastAsia="宋体" w:cs="宋体"/>
          <w:color w:val="000000"/>
          <w:kern w:val="0"/>
          <w:sz w:val="21"/>
          <w:szCs w:val="21"/>
          <w:highlight w:val="none"/>
        </w:rPr>
        <w:t>3.</w:t>
      </w:r>
      <w:r>
        <w:rPr>
          <w:rFonts w:hint="eastAsia" w:ascii="宋体" w:hAnsi="宋体" w:eastAsia="宋体" w:cs="宋体"/>
          <w:sz w:val="21"/>
          <w:szCs w:val="21"/>
          <w:highlight w:val="none"/>
        </w:rPr>
        <w:t xml:space="preserve"> </w:t>
      </w:r>
      <w:r>
        <w:rPr>
          <w:rFonts w:hint="eastAsia" w:ascii="宋体" w:hAnsi="宋体" w:eastAsia="宋体" w:cs="宋体"/>
          <w:color w:val="000000"/>
          <w:kern w:val="0"/>
          <w:sz w:val="21"/>
          <w:szCs w:val="21"/>
          <w:highlight w:val="none"/>
        </w:rPr>
        <w:t>上报年度清单时填写“共享资源需求基本信息”栏，上报季度清单时根据年度清单更新“跨行业共享需求季度满足情况”栏。</w:t>
      </w:r>
    </w:p>
    <w:p>
      <w:pPr>
        <w:pStyle w:val="2"/>
        <w:keepNext w:val="0"/>
        <w:keepLines w:val="0"/>
        <w:pageBreakBefore w:val="0"/>
        <w:widowControl w:val="0"/>
        <w:kinsoku/>
        <w:wordWrap/>
        <w:overflowPunct w:val="0"/>
        <w:topLinePunct/>
        <w:autoSpaceDE/>
        <w:autoSpaceDN/>
        <w:bidi w:val="0"/>
        <w:adjustRightInd/>
        <w:snapToGrid/>
        <w:spacing w:after="0" w:line="240" w:lineRule="auto"/>
        <w:ind w:left="0" w:leftChars="0" w:firstLine="0" w:firstLineChars="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rPr>
        <w:t>7</w:t>
      </w:r>
      <w:bookmarkEnd w:id="14"/>
    </w:p>
    <w:p>
      <w:pPr>
        <w:pStyle w:val="2"/>
        <w:keepNext w:val="0"/>
        <w:keepLines w:val="0"/>
        <w:pageBreakBefore w:val="0"/>
        <w:widowControl w:val="0"/>
        <w:kinsoku/>
        <w:wordWrap/>
        <w:overflowPunct w:val="0"/>
        <w:topLinePunct/>
        <w:autoSpaceDE/>
        <w:autoSpaceDN/>
        <w:bidi w:val="0"/>
        <w:adjustRightInd/>
        <w:snapToGrid/>
        <w:spacing w:after="0" w:line="600" w:lineRule="exact"/>
        <w:ind w:left="0" w:leftChars="0" w:firstLine="0" w:firstLineChars="0"/>
        <w:jc w:val="center"/>
        <w:textAlignment w:val="baseline"/>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跨行业共享需求满足情况统计表</w:t>
      </w:r>
    </w:p>
    <w:tbl>
      <w:tblPr>
        <w:tblStyle w:val="5"/>
        <w:tblpPr w:leftFromText="180" w:rightFromText="180" w:vertAnchor="text" w:horzAnchor="page" w:tblpX="1539"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410"/>
        <w:gridCol w:w="2410"/>
        <w:gridCol w:w="2693"/>
        <w:gridCol w:w="218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bookmarkStart w:id="18" w:name="_Hlk132035291"/>
            <w:r>
              <w:rPr>
                <w:rFonts w:hint="eastAsia" w:ascii="宋体" w:hAnsi="宋体" w:eastAsia="宋体" w:cs="宋体"/>
                <w:color w:val="000000"/>
                <w:kern w:val="0"/>
                <w:sz w:val="21"/>
                <w:szCs w:val="21"/>
                <w:highlight w:val="none"/>
              </w:rPr>
              <w:t>序号</w:t>
            </w:r>
          </w:p>
        </w:tc>
        <w:tc>
          <w:tcPr>
            <w:tcW w:w="1134"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省份</w:t>
            </w:r>
          </w:p>
        </w:tc>
        <w:tc>
          <w:tcPr>
            <w:tcW w:w="2410"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跨行业共享需求总数</w:t>
            </w:r>
          </w:p>
        </w:tc>
        <w:tc>
          <w:tcPr>
            <w:tcW w:w="9497" w:type="dxa"/>
            <w:gridSpan w:val="4"/>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跨行业共享需求满足情况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13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已满足需求数量</w:t>
            </w:r>
          </w:p>
        </w:tc>
        <w:tc>
          <w:tcPr>
            <w:tcW w:w="2693"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本季度推进满足数量</w:t>
            </w:r>
          </w:p>
        </w:tc>
        <w:tc>
          <w:tcPr>
            <w:tcW w:w="2187"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未满足需求数量</w:t>
            </w:r>
          </w:p>
        </w:tc>
        <w:tc>
          <w:tcPr>
            <w:tcW w:w="2207" w:type="dxa"/>
            <w:vMerge w:val="restart"/>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正在推进满足数量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1134"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vMerge w:val="continue"/>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noWrap w:val="0"/>
            <w:vAlign w:val="center"/>
          </w:tcPr>
          <w:p>
            <w:pPr>
              <w:keepNext w:val="0"/>
              <w:keepLines w:val="0"/>
              <w:pageBreakBefore w:val="0"/>
              <w:widowControl/>
              <w:kinsoku/>
              <w:overflowPunct w:val="0"/>
              <w:topLinePunct/>
              <w:bidi w:val="0"/>
              <w:jc w:val="center"/>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410"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693"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18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c>
          <w:tcPr>
            <w:tcW w:w="2207" w:type="dxa"/>
            <w:noWrap w:val="0"/>
            <w:vAlign w:val="center"/>
          </w:tcPr>
          <w:p>
            <w:pPr>
              <w:keepNext w:val="0"/>
              <w:keepLines w:val="0"/>
              <w:pageBreakBefore w:val="0"/>
              <w:widowControl/>
              <w:kinsoku/>
              <w:overflowPunct w:val="0"/>
              <w:topLinePunct/>
              <w:bidi w:val="0"/>
              <w:jc w:val="left"/>
              <w:textAlignment w:val="baseline"/>
              <w:rPr>
                <w:rFonts w:hint="eastAsia" w:ascii="宋体" w:hAnsi="宋体" w:eastAsia="宋体" w:cs="宋体"/>
                <w:color w:val="000000"/>
                <w:kern w:val="0"/>
                <w:sz w:val="21"/>
                <w:szCs w:val="21"/>
                <w:highlight w:val="none"/>
              </w:rPr>
            </w:pPr>
          </w:p>
        </w:tc>
      </w:tr>
      <w:bookmarkEnd w:id="18"/>
    </w:tbl>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黑体" w:hAnsi="黑体" w:eastAsia="黑体" w:cs="黑体"/>
          <w:sz w:val="32"/>
          <w:szCs w:val="32"/>
          <w:highlight w:val="none"/>
          <w:lang w:val="en-US" w:eastAsia="zh-CN"/>
        </w:rPr>
        <w:sectPr>
          <w:pgSz w:w="16838" w:h="11906" w:orient="landscape"/>
          <w:pgMar w:top="1531" w:right="1531" w:bottom="1531" w:left="1134" w:header="850"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60288;mso-width-relative:page;mso-height-relative:page;" filled="f" stroked="f" coordsize="21600,21600" o:gfxdata="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YFbK9IAAAAG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59264;mso-width-relative:page;mso-height-relative:page;" filled="f" stroked="f" coordsize="21600,21600" o:gfxdata="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gVsr0gAAAAY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-66040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5.2pt;height:144pt;width:144pt;mso-position-horizontal:outside;mso-position-horizontal-relative:margin;mso-wrap-style:none;z-index:251661312;mso-width-relative:page;mso-height-relative:page;" filled="f" stroked="f" coordsize="21600,21600" o:gfxdata="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rvrDNQAAAAIAQAADwAAAAAAAAABACAAAAAiAAAAZHJzL2Rvd25y&#10;ZXYueG1sUEsBAhQAFAAAAAgAh07iQARvkKDJAQAAmQMAAA4AAAAAAAAAAQAgAAAAIwEAAGRycy9l&#10;Mm9Eb2MueG1sUEsFBgAAAAAGAAYAWQEAAF4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68CB24A0"/>
    <w:rsid w:val="68CB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next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2024-01-15T06:41:00Z</dcterms:created>
  <dc:creator>熙雯爱睿宝</dc:creator>
  <cp:lastModifiedBy>熙雯爱睿宝</cp:lastModifiedBy>
  <dcterms:modified xsi:type="dcterms:W3CDTF">2024-01-15T06:44:05Z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AC24A8A484464CCFB5F690499FAD8138_11</vt:lpwstr>
  </property>
</Properties>
</file>