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通信专业技术人员职业水平考试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专业参照表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ascii="仿宋_GB2312" w:eastAsia="仿宋_GB2312"/>
          <w:color w:val="auto"/>
          <w:sz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一、通信专业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通信工程专业包括：电信工程、无线电通信、光通信、交换（市话、长话、程控交换）、非话通信类、载波、微波、线路、通信电源、通信网络、邮电通信工程等。</w:t>
      </w:r>
      <w:r>
        <w:rPr>
          <w:rFonts w:ascii="仿宋_GB2312" w:eastAsia="仿宋_GB2312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二、相近专业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（一）电子技术专业（无线电技术、电子技术、计算机技术、自动控制、信息工程等）；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（二）通信仪器仪表及测量检定技术等；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（三）管理工程专业（工业管理工程、科学技术管理、基本建设管理工程、邮电通信管理工程、技术经济管理等）；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</w:rPr>
        <w:t>（四）邮政机械与自动化专业。</w:t>
      </w: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5FCBE3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C5FCBE3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6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2023-03-02T14:22:00Z</dcterms:created>
  <dc:creator>kylin</dc:creator>
  <cp:lastModifiedBy>kylin</cp:lastModifiedBy>
  <dcterms:modified xsi:type="dcterms:W3CDTF">2023-03-02T14:24:01Z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