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color w:val="FF0000"/>
          <w:w w:val="50"/>
        </w:rPr>
      </w:pPr>
      <w:r>
        <w:rPr>
          <w:color w:val="FF0000"/>
          <w:w w:val="50"/>
        </w:rPr>
        <w:pict>
          <v:shape id="_x0000_i1025" o:spt="136" type="#_x0000_t136" style="height:54pt;width:227.25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湖北省通信行业协会" style="font-family:宋体;font-size:28pt;v-text-align:center;"/>
            <w10:wrap type="none"/>
            <w10:anchorlock/>
          </v:shape>
        </w:pict>
      </w:r>
      <w:r>
        <w:rPr>
          <w:color w:val="FF0000"/>
          <w:w w:val="50"/>
        </w:rPr>
        <w:pict>
          <v:shape id="_x0000_i1026" o:spt="136" type="#_x0000_t136" style="height:50.25pt;width:129.75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电 信 用 户&#10;申诉受理中心" style="font-family:宋体;font-size:36pt;v-text-align:center;"/>
            <w10:wrap type="none"/>
            <w10:anchorlock/>
          </v:shape>
        </w:pict>
      </w:r>
      <w:r>
        <w:rPr>
          <w:rFonts w:eastAsia="Times New Roman"/>
          <w:color w:val="FF0000"/>
          <w:w w:val="50"/>
        </w:rPr>
        <w:pict>
          <v:shape id="_x0000_i1027" o:spt="136" type="#_x0000_t136" style="height:53.25pt;width:45.75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文件" style="font-family:宋体;font-size:28pt;v-text-align:center;"/>
            <w10:wrap type="none"/>
            <w10:anchorlock/>
          </v:shape>
        </w:pict>
      </w:r>
    </w:p>
    <w:p>
      <w:pPr>
        <w:tabs>
          <w:tab w:val="left" w:pos="6525"/>
        </w:tabs>
        <w:spacing w:line="300" w:lineRule="exact"/>
        <w:rPr>
          <w:color w:val="FF0000"/>
          <w:u w:val="single"/>
        </w:rPr>
      </w:pPr>
    </w:p>
    <w:p>
      <w:pPr>
        <w:tabs>
          <w:tab w:val="left" w:pos="6525"/>
        </w:tabs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鄂电申〔</w:t>
      </w:r>
      <w:r>
        <w:rPr>
          <w:rFonts w:ascii="仿宋_GB2312" w:hAnsi="仿宋_GB2312" w:eastAsia="仿宋_GB2312" w:cs="仿宋_GB2312"/>
          <w:sz w:val="30"/>
          <w:szCs w:val="30"/>
        </w:rPr>
        <w:t>20</w:t>
      </w:r>
      <w:r>
        <w:rPr>
          <w:rFonts w:hint="eastAsia" w:ascii="仿宋_GB2312" w:hAnsi="仿宋_GB2312" w:eastAsia="仿宋_GB2312" w:cs="仿宋_GB2312"/>
          <w:sz w:val="30"/>
          <w:szCs w:val="30"/>
        </w:rPr>
        <w:t>20〕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</w:rPr>
        <w:t>号</w:t>
      </w:r>
    </w:p>
    <w:p>
      <w:pPr>
        <w:spacing w:line="300" w:lineRule="exact"/>
        <w:rPr>
          <w:color w:val="FF0000"/>
          <w:u w:val="single"/>
        </w:rPr>
      </w:pPr>
    </w:p>
    <w:p>
      <w:pPr>
        <w:rPr>
          <w:color w:val="FF0000"/>
        </w:rPr>
      </w:pPr>
      <w:r>
        <w:rPr>
          <w:color w:val="FF0000"/>
        </w:rPr>
        <w:pict>
          <v:line id="直接连接符 1" o:spid="_x0000_s1026" o:spt="20" style="position:absolute;left:0pt;flip:y;margin-left:6.25pt;margin-top:3.2pt;height:3pt;width:432.75pt;z-index:251658240;mso-width-relative:page;mso-height-relative:page;" stroked="t" coordsize="21600,21600" o:gfxdata="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vBw6fWAAAABwEAAA8AAAAAAAAA&#10;AQAgAAAAIgAAAGRycy9kb3ducmV2LnhtbFBLAQIUABQAAAAIAIdO4kDfW/Vm2gEAAHMDAAAOAAAA&#10;AAAAAAEAIAAAACUBAABkcnMvZTJvRG9jLnhtbFBLBQYAAAAABgAGAFkBAABxBQAAAAA=&#10;">
            <v:path arrowok="t"/>
            <v:fill focussize="0,0"/>
            <v:stroke color="#FF0000"/>
            <v:imagedata o:title=""/>
            <o:lock v:ext="edit"/>
          </v:line>
        </w:pict>
      </w:r>
    </w:p>
    <w:p>
      <w:pPr>
        <w:spacing w:line="360" w:lineRule="auto"/>
        <w:jc w:val="center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关于</w:t>
      </w:r>
      <w:r>
        <w:rPr>
          <w:rFonts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</w:rPr>
        <w:t>20年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月份湖北全省电信</w:t>
      </w:r>
    </w:p>
    <w:p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44"/>
          <w:szCs w:val="44"/>
        </w:rPr>
        <w:t>用户申诉受理情况的通报</w:t>
      </w:r>
    </w:p>
    <w:bookmarkEnd w:id="0"/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</w:rPr>
      </w:pPr>
    </w:p>
    <w:p>
      <w:pPr>
        <w:ind w:firstLine="640" w:firstLineChars="200"/>
        <w:jc w:val="lef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一、电信用户申诉总体情况统计分析</w:t>
      </w:r>
    </w:p>
    <w:p>
      <w:pPr>
        <w:ind w:firstLine="800" w:firstLineChars="25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2020年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sz w:val="32"/>
          <w:szCs w:val="32"/>
        </w:rPr>
        <w:t>月份收到各类电信用户的申诉共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160</w:t>
      </w:r>
      <w:r>
        <w:rPr>
          <w:rFonts w:hint="eastAsia" w:ascii="仿宋_GB2312" w:eastAsia="仿宋_GB2312" w:cs="仿宋_GB2312"/>
          <w:sz w:val="32"/>
          <w:szCs w:val="32"/>
        </w:rPr>
        <w:t>人次，与上月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115</w:t>
      </w:r>
      <w:r>
        <w:rPr>
          <w:rFonts w:hint="eastAsia" w:ascii="仿宋_GB2312" w:eastAsia="仿宋_GB2312" w:cs="仿宋_GB2312"/>
          <w:sz w:val="32"/>
          <w:szCs w:val="32"/>
        </w:rPr>
        <w:t>人次相比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上升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39.13</w:t>
      </w:r>
      <w:r>
        <w:rPr>
          <w:rFonts w:hint="eastAsia" w:ascii="仿宋_GB2312" w:eastAsia="仿宋_GB2312" w:cs="仿宋_GB2312"/>
          <w:sz w:val="32"/>
          <w:szCs w:val="32"/>
        </w:rPr>
        <w:t>个百分点，与去年同期的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186</w:t>
      </w:r>
      <w:r>
        <w:rPr>
          <w:rFonts w:hint="eastAsia" w:ascii="仿宋_GB2312" w:eastAsia="仿宋_GB2312" w:cs="仿宋_GB2312"/>
          <w:sz w:val="32"/>
          <w:szCs w:val="32"/>
        </w:rPr>
        <w:t>人次相比下降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13.98</w:t>
      </w:r>
      <w:r>
        <w:rPr>
          <w:rFonts w:hint="eastAsia" w:ascii="仿宋_GB2312" w:eastAsia="仿宋_GB2312" w:cs="仿宋_GB2312"/>
          <w:sz w:val="32"/>
          <w:szCs w:val="32"/>
        </w:rPr>
        <w:t>个百分点。</w:t>
      </w:r>
    </w:p>
    <w:p>
      <w:pPr>
        <w:pStyle w:val="8"/>
        <w:spacing w:line="240" w:lineRule="atLeast"/>
        <w:ind w:firstLine="640" w:firstLineChars="200"/>
        <w:rPr>
          <w:rFonts w:ascii="仿宋_GB2312" w:hAnsi="Times New Roman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</w:rPr>
        <w:t>从总申诉量分类统计表可看出，服务类占比最大，占申诉总量的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/>
        </w:rPr>
        <w:t>42.50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</w:rPr>
        <w:t>个百分点，其次为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eastAsia="zh-CN"/>
        </w:rPr>
        <w:t>收费类和资费类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</w:rPr>
        <w:t>，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/>
        </w:rPr>
        <w:t>分别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</w:rPr>
        <w:t>占申诉总量的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/>
        </w:rPr>
        <w:t>25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lang w:eastAsia="zh-CN"/>
        </w:rPr>
        <w:t>和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lang w:val="en-US" w:eastAsia="zh-CN"/>
        </w:rPr>
        <w:t>16.25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</w:rPr>
        <w:t>个百分点，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lang w:eastAsia="zh-CN"/>
        </w:rPr>
        <w:t>网络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</w:rPr>
        <w:t>类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lang w:eastAsia="zh-CN"/>
        </w:rPr>
        <w:t>和营销类分别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</w:rPr>
        <w:t>占申诉总量的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lang w:val="en-US" w:eastAsia="zh-CN"/>
        </w:rPr>
        <w:t>12.50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lang w:eastAsia="zh-CN"/>
        </w:rPr>
        <w:t>和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lang w:val="en-US" w:eastAsia="zh-CN"/>
        </w:rPr>
        <w:t>3.13个百分点，安全类占0.63个百分点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</w:rPr>
        <w:t>。</w:t>
      </w:r>
    </w:p>
    <w:p>
      <w:pPr>
        <w:pStyle w:val="8"/>
        <w:spacing w:line="240" w:lineRule="atLeast"/>
        <w:ind w:firstLine="640" w:firstLineChars="200"/>
        <w:rPr>
          <w:rFonts w:ascii="仿宋_GB2312" w:hAnsi="Times New Roman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</w:rPr>
        <w:t>从下图表中可以看出，本月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lang w:eastAsia="zh-CN"/>
        </w:rPr>
        <w:t>资费类与上月持平，营销类和安全类呈下降趋势，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</w:rPr>
        <w:t>其他各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lang w:val="en-US" w:eastAsia="zh-CN"/>
        </w:rPr>
        <w:t>类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</w:rPr>
        <w:t>申诉量环比均呈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lang w:eastAsia="zh-CN"/>
        </w:rPr>
        <w:t>上升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</w:rPr>
        <w:t>趋势。</w:t>
      </w:r>
    </w:p>
    <w:p>
      <w:pPr>
        <w:pStyle w:val="8"/>
        <w:spacing w:line="240" w:lineRule="atLeast"/>
        <w:ind w:firstLine="321"/>
        <w:jc w:val="center"/>
        <w:rPr>
          <w:rFonts w:ascii="楷体_GB2312" w:hAnsi="宋体" w:eastAsia="楷体_GB2312" w:cs="楷体_GB2312"/>
          <w:b/>
          <w:color w:val="FF0000"/>
          <w:sz w:val="32"/>
          <w:szCs w:val="32"/>
        </w:rPr>
      </w:pPr>
    </w:p>
    <w:p>
      <w:pPr>
        <w:pStyle w:val="8"/>
        <w:spacing w:line="240" w:lineRule="atLeast"/>
        <w:ind w:firstLine="321"/>
        <w:jc w:val="center"/>
        <w:rPr>
          <w:rFonts w:ascii="楷体_GB2312" w:hAnsi="宋体" w:eastAsia="楷体_GB2312" w:cs="楷体_GB2312"/>
          <w:b/>
          <w:color w:val="FF0000"/>
          <w:sz w:val="32"/>
          <w:szCs w:val="32"/>
        </w:rPr>
      </w:pPr>
    </w:p>
    <w:p>
      <w:pPr>
        <w:pStyle w:val="8"/>
        <w:spacing w:line="240" w:lineRule="atLeast"/>
        <w:ind w:firstLine="321"/>
        <w:jc w:val="center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sz w:val="32"/>
          <w:szCs w:val="32"/>
        </w:rPr>
        <w:t>总申诉量分类统计表</w:t>
      </w:r>
    </w:p>
    <w:tbl>
      <w:tblPr>
        <w:tblStyle w:val="9"/>
        <w:tblW w:w="780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1470"/>
        <w:gridCol w:w="1470"/>
        <w:gridCol w:w="1470"/>
        <w:gridCol w:w="19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4月份</w:t>
            </w: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3月份</w:t>
            </w: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占比%</w:t>
            </w:r>
          </w:p>
        </w:tc>
        <w:tc>
          <w:tcPr>
            <w:tcW w:w="1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资费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16.25</w:t>
            </w:r>
          </w:p>
        </w:tc>
        <w:tc>
          <w:tcPr>
            <w:tcW w:w="19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营销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3.13</w:t>
            </w:r>
          </w:p>
        </w:tc>
        <w:tc>
          <w:tcPr>
            <w:tcW w:w="19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-44.44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网络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12.50</w:t>
            </w:r>
          </w:p>
        </w:tc>
        <w:tc>
          <w:tcPr>
            <w:tcW w:w="19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服务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42.50</w:t>
            </w:r>
          </w:p>
        </w:tc>
        <w:tc>
          <w:tcPr>
            <w:tcW w:w="19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收费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25.00</w:t>
            </w:r>
          </w:p>
        </w:tc>
        <w:tc>
          <w:tcPr>
            <w:tcW w:w="19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安全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</w:t>
            </w:r>
          </w:p>
        </w:tc>
        <w:tc>
          <w:tcPr>
            <w:tcW w:w="19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-66.67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其他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39.13</w:t>
            </w:r>
          </w:p>
        </w:tc>
      </w:tr>
    </w:tbl>
    <w:p>
      <w:pPr>
        <w:rPr>
          <w:rFonts w:ascii="宋体" w:hAnsi="宋体" w:cs="宋体"/>
          <w:color w:val="FF0000"/>
          <w:kern w:val="0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</w:rPr>
      </w:pPr>
      <w:r>
        <w:rPr>
          <w:rFonts w:hint="eastAsia" w:ascii="楷体_GB2312" w:eastAsia="楷体_GB2312"/>
          <w:b/>
          <w:bCs/>
          <w:sz w:val="32"/>
        </w:rPr>
        <w:t>总申诉量分类统计对比图</w:t>
      </w: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</w:rPr>
      </w:pPr>
      <w:r>
        <w:rPr>
          <w:color w:val="FF0000"/>
        </w:rPr>
        <w:drawing>
          <wp:inline distT="0" distB="0" distL="0" distR="0">
            <wp:extent cx="4125595" cy="2029460"/>
            <wp:effectExtent l="5080" t="4445" r="22225" b="23495"/>
            <wp:docPr id="1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rPr>
          <w:rFonts w:ascii="宋体" w:hAnsi="宋体" w:cs="宋体"/>
          <w:color w:val="FF0000"/>
          <w:kern w:val="0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</w:rPr>
      </w:pPr>
      <w:r>
        <w:rPr>
          <w:rFonts w:hint="eastAsia" w:ascii="楷体_GB2312" w:eastAsia="楷体_GB2312"/>
          <w:b/>
          <w:bCs/>
          <w:sz w:val="32"/>
        </w:rPr>
        <w:t>申诉量分类统计占比图</w:t>
      </w: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</w:rPr>
      </w:pPr>
      <w:r>
        <w:rPr>
          <w:color w:val="FF0000"/>
        </w:rPr>
        <w:drawing>
          <wp:inline distT="0" distB="0" distL="0" distR="0">
            <wp:extent cx="4371975" cy="2076450"/>
            <wp:effectExtent l="4445" t="5080" r="5080" b="1397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8"/>
        <w:spacing w:line="360" w:lineRule="auto"/>
        <w:ind w:firstLine="640" w:firstLineChars="200"/>
        <w:rPr>
          <w:rFonts w:ascii="黑体" w:eastAsia="黑体"/>
          <w:sz w:val="32"/>
          <w:szCs w:val="32"/>
          <w:lang w:val="zh-CN"/>
        </w:rPr>
      </w:pPr>
      <w:r>
        <w:rPr>
          <w:rFonts w:hint="eastAsia" w:ascii="黑体" w:eastAsia="黑体" w:cs="仿宋_GB2312"/>
          <w:sz w:val="32"/>
          <w:szCs w:val="32"/>
          <w:lang w:val="zh-CN"/>
        </w:rPr>
        <w:t>二、各电信运营企业被申诉总量统计分析</w:t>
      </w:r>
    </w:p>
    <w:p>
      <w:pPr>
        <w:pStyle w:val="8"/>
        <w:spacing w:line="240" w:lineRule="atLeast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如下图表所示，本月申诉量除联通公司呈下降趋势外，电信公司和移动公司均呈上升趋势。</w:t>
      </w:r>
    </w:p>
    <w:p>
      <w:pPr>
        <w:pStyle w:val="8"/>
        <w:spacing w:line="240" w:lineRule="atLeast"/>
        <w:ind w:firstLine="0" w:firstLineChars="0"/>
        <w:jc w:val="center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楷体_GB2312" w:hAnsi="宋体" w:eastAsia="楷体_GB2312" w:cs="楷体_GB2312"/>
          <w:b/>
          <w:sz w:val="32"/>
          <w:szCs w:val="32"/>
        </w:rPr>
        <w:t>各电信运营企业申诉量对比统计表</w:t>
      </w:r>
    </w:p>
    <w:tbl>
      <w:tblPr>
        <w:tblStyle w:val="9"/>
        <w:tblW w:w="757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1470"/>
        <w:gridCol w:w="1470"/>
        <w:gridCol w:w="1470"/>
        <w:gridCol w:w="16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4月份</w:t>
            </w: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3月份</w:t>
            </w: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占比%</w:t>
            </w:r>
          </w:p>
        </w:tc>
        <w:tc>
          <w:tcPr>
            <w:tcW w:w="16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50.63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38.75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10.63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39.13</w:t>
            </w:r>
          </w:p>
        </w:tc>
      </w:tr>
    </w:tbl>
    <w:p>
      <w:pPr>
        <w:jc w:val="center"/>
        <w:rPr>
          <w:rFonts w:ascii="宋体" w:hAnsi="宋体" w:cs="宋体"/>
          <w:color w:val="FF0000"/>
          <w:kern w:val="0"/>
          <w:sz w:val="28"/>
          <w:szCs w:val="28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  <w:r>
        <w:rPr>
          <w:rFonts w:hint="eastAsia" w:ascii="楷体_GB2312" w:eastAsia="楷体_GB2312"/>
          <w:b/>
          <w:bCs/>
          <w:sz w:val="32"/>
          <w:lang w:val="zh-CN"/>
        </w:rPr>
        <w:t>各电信运营企业申诉量对比图</w:t>
      </w: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  <w:lang w:val="zh-CN"/>
        </w:rPr>
      </w:pPr>
      <w:r>
        <w:rPr>
          <w:color w:val="FF0000"/>
        </w:rPr>
        <w:drawing>
          <wp:inline distT="0" distB="0" distL="0" distR="0">
            <wp:extent cx="4110990" cy="1960880"/>
            <wp:effectExtent l="4445" t="4445" r="18415" b="15875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color w:val="FF0000"/>
          <w:kern w:val="0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  <w:r>
        <w:rPr>
          <w:rFonts w:hint="eastAsia" w:ascii="楷体_GB2312" w:eastAsia="楷体_GB2312"/>
          <w:b/>
          <w:bCs/>
          <w:sz w:val="32"/>
          <w:lang w:val="zh-CN"/>
        </w:rPr>
        <w:t>各电信运营企业申诉量占比图</w:t>
      </w: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  <w:lang w:val="zh-CN"/>
        </w:rPr>
      </w:pPr>
      <w:r>
        <w:rPr>
          <w:color w:val="FF0000"/>
        </w:rPr>
        <w:drawing>
          <wp:inline distT="0" distB="0" distL="0" distR="0">
            <wp:extent cx="4229100" cy="2090420"/>
            <wp:effectExtent l="19050" t="0" r="19050" b="5080"/>
            <wp:docPr id="4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8"/>
        <w:spacing w:line="360" w:lineRule="auto"/>
        <w:ind w:firstLine="640" w:firstLineChars="200"/>
        <w:rPr>
          <w:rFonts w:ascii="黑体" w:eastAsia="黑体"/>
          <w:sz w:val="32"/>
          <w:szCs w:val="32"/>
          <w:lang w:val="zh-CN"/>
        </w:rPr>
      </w:pPr>
      <w:r>
        <w:rPr>
          <w:rFonts w:hint="eastAsia" w:ascii="黑体" w:eastAsia="黑体"/>
          <w:color w:val="auto"/>
          <w:sz w:val="32"/>
          <w:szCs w:val="32"/>
          <w:lang w:val="zh-CN"/>
        </w:rPr>
        <w:t>三、</w:t>
      </w:r>
      <w:r>
        <w:rPr>
          <w:rFonts w:hint="eastAsia" w:ascii="黑体" w:eastAsia="黑体"/>
          <w:sz w:val="32"/>
          <w:szCs w:val="32"/>
          <w:lang w:val="zh-CN"/>
        </w:rPr>
        <w:t>各电信运营企业申诉受理分类统计分析</w:t>
      </w:r>
    </w:p>
    <w:p>
      <w:pPr>
        <w:pStyle w:val="8"/>
        <w:spacing w:line="360" w:lineRule="auto"/>
        <w:ind w:firstLine="643" w:firstLineChars="200"/>
        <w:rPr>
          <w:rFonts w:ascii="楷体_GB2312" w:eastAsia="楷体_GB2312" w:cs="仿宋_GB2312"/>
          <w:b/>
          <w:bCs/>
          <w:sz w:val="32"/>
          <w:szCs w:val="32"/>
          <w:lang w:val="zh-CN"/>
        </w:rPr>
      </w:pP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（一）资费类</w:t>
      </w:r>
    </w:p>
    <w:p>
      <w:pPr>
        <w:pStyle w:val="8"/>
        <w:spacing w:line="240" w:lineRule="atLeast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本月关于资费类问题的申诉共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人次，占全月用户申诉总量的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16.25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个百分点，与上月相比持平，其中：申诉电信公司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17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人次，申诉移动公司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人次，申诉联通公司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人次。</w:t>
      </w:r>
    </w:p>
    <w:p>
      <w:pPr>
        <w:pStyle w:val="8"/>
        <w:spacing w:line="360" w:lineRule="auto"/>
        <w:ind w:firstLine="0" w:firstLineChars="0"/>
        <w:jc w:val="center"/>
        <w:rPr>
          <w:rFonts w:hint="eastAsia" w:ascii="楷体_GB2312" w:hAnsi="宋体" w:eastAsia="楷体_GB2312" w:cs="楷体_GB2312"/>
          <w:b/>
          <w:sz w:val="32"/>
          <w:szCs w:val="32"/>
        </w:rPr>
      </w:pPr>
    </w:p>
    <w:p>
      <w:pPr>
        <w:pStyle w:val="8"/>
        <w:spacing w:line="360" w:lineRule="auto"/>
        <w:ind w:firstLine="0" w:firstLineChars="0"/>
        <w:jc w:val="center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楷体_GB2312" w:hAnsi="宋体" w:eastAsia="楷体_GB2312" w:cs="楷体_GB2312"/>
          <w:b/>
          <w:sz w:val="32"/>
          <w:szCs w:val="32"/>
        </w:rPr>
        <w:t>资费类统计表</w:t>
      </w:r>
    </w:p>
    <w:tbl>
      <w:tblPr>
        <w:tblStyle w:val="9"/>
        <w:tblW w:w="748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455"/>
        <w:gridCol w:w="1455"/>
        <w:gridCol w:w="1455"/>
        <w:gridCol w:w="16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4月份</w:t>
            </w:r>
          </w:p>
        </w:tc>
        <w:tc>
          <w:tcPr>
            <w:tcW w:w="14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3月份</w:t>
            </w:r>
          </w:p>
        </w:tc>
        <w:tc>
          <w:tcPr>
            <w:tcW w:w="1455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占比%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65.38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142.86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34.62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</w:tbl>
    <w:p>
      <w:pPr>
        <w:spacing w:line="360" w:lineRule="auto"/>
        <w:jc w:val="center"/>
        <w:rPr>
          <w:rFonts w:hint="eastAsia" w:ascii="楷体_GB2312" w:eastAsia="楷体_GB2312"/>
          <w:b/>
          <w:bCs/>
          <w:sz w:val="32"/>
          <w:lang w:val="zh-CN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  <w:r>
        <w:rPr>
          <w:rFonts w:hint="eastAsia" w:ascii="楷体_GB2312" w:eastAsia="楷体_GB2312"/>
          <w:b/>
          <w:bCs/>
          <w:sz w:val="32"/>
          <w:lang w:val="zh-CN"/>
        </w:rPr>
        <w:t>资费类统计对比图</w:t>
      </w: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  <w:lang w:val="zh-CN"/>
        </w:rPr>
      </w:pPr>
      <w:r>
        <w:rPr>
          <w:color w:val="FF0000"/>
        </w:rPr>
        <w:drawing>
          <wp:inline distT="0" distB="0" distL="0" distR="0">
            <wp:extent cx="3953510" cy="2089150"/>
            <wp:effectExtent l="4445" t="4445" r="17145" b="14605"/>
            <wp:docPr id="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楷体_GB2312" w:eastAsia="楷体_GB2312"/>
          <w:b/>
          <w:bCs/>
          <w:sz w:val="32"/>
          <w:lang w:val="zh-CN"/>
        </w:rPr>
      </w:pPr>
    </w:p>
    <w:p>
      <w:pPr>
        <w:spacing w:line="360" w:lineRule="auto"/>
        <w:jc w:val="center"/>
        <w:rPr>
          <w:rFonts w:hint="eastAsia" w:ascii="楷体_GB2312" w:eastAsia="楷体_GB2312"/>
          <w:b/>
          <w:bCs/>
          <w:sz w:val="32"/>
          <w:lang w:val="zh-CN"/>
        </w:rPr>
      </w:pPr>
    </w:p>
    <w:p>
      <w:pPr>
        <w:spacing w:line="360" w:lineRule="auto"/>
        <w:jc w:val="center"/>
        <w:rPr>
          <w:rFonts w:hint="eastAsia" w:ascii="楷体_GB2312" w:eastAsia="楷体_GB2312"/>
          <w:b/>
          <w:bCs/>
          <w:sz w:val="32"/>
          <w:lang w:val="zh-CN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  <w:r>
        <w:rPr>
          <w:rFonts w:hint="eastAsia" w:ascii="楷体_GB2312" w:eastAsia="楷体_GB2312"/>
          <w:b/>
          <w:bCs/>
          <w:sz w:val="32"/>
          <w:lang w:val="en-US" w:eastAsia="zh-CN"/>
        </w:rPr>
        <w:t>本月</w:t>
      </w:r>
      <w:r>
        <w:rPr>
          <w:rFonts w:hint="eastAsia" w:ascii="楷体_GB2312" w:eastAsia="楷体_GB2312"/>
          <w:b/>
          <w:bCs/>
          <w:sz w:val="32"/>
          <w:lang w:val="zh-CN"/>
        </w:rPr>
        <w:t>资费类占比图</w:t>
      </w: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  <w:lang w:val="zh-CN"/>
        </w:rPr>
      </w:pPr>
      <w:r>
        <w:rPr>
          <w:color w:val="FF0000"/>
        </w:rPr>
        <w:drawing>
          <wp:inline distT="0" distB="0" distL="0" distR="0">
            <wp:extent cx="3953510" cy="2117090"/>
            <wp:effectExtent l="4445" t="4445" r="17145" b="12065"/>
            <wp:docPr id="7" name="图表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>
      <w:pPr>
        <w:jc w:val="center"/>
        <w:rPr>
          <w:rFonts w:hint="eastAsia" w:ascii="楷体_GB2312" w:hAnsi="宋体" w:eastAsia="楷体_GB2312" w:cs="楷体_GB2312"/>
          <w:b/>
          <w:kern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楷体_GB2312" w:hAnsi="宋体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kern w:val="0"/>
          <w:sz w:val="32"/>
          <w:szCs w:val="32"/>
          <w:lang w:val="en-US" w:eastAsia="zh-CN"/>
        </w:rPr>
        <w:t>本月</w:t>
      </w:r>
      <w:r>
        <w:rPr>
          <w:rFonts w:hint="eastAsia" w:ascii="楷体_GB2312" w:hAnsi="宋体" w:eastAsia="楷体_GB2312" w:cs="楷体_GB2312"/>
          <w:b/>
          <w:kern w:val="0"/>
          <w:sz w:val="32"/>
          <w:szCs w:val="32"/>
        </w:rPr>
        <w:t>资费类分项统计表</w:t>
      </w:r>
    </w:p>
    <w:tbl>
      <w:tblPr>
        <w:tblStyle w:val="9"/>
        <w:tblW w:w="5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</w:rPr>
            </w:pP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资费价格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资费套餐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资费其他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</w:tr>
    </w:tbl>
    <w:p>
      <w:pPr>
        <w:jc w:val="center"/>
        <w:rPr>
          <w:rFonts w:ascii="楷体_GB2312" w:hAnsi="宋体" w:eastAsia="楷体_GB2312" w:cs="楷体_GB2312"/>
          <w:b/>
          <w:color w:val="FF0000"/>
          <w:kern w:val="0"/>
          <w:sz w:val="32"/>
          <w:szCs w:val="32"/>
        </w:rPr>
      </w:pPr>
    </w:p>
    <w:p>
      <w:pPr>
        <w:pStyle w:val="8"/>
        <w:spacing w:line="360" w:lineRule="auto"/>
        <w:ind w:firstLine="643" w:firstLineChars="200"/>
        <w:rPr>
          <w:rFonts w:ascii="楷体_GB2312" w:eastAsia="楷体_GB2312" w:cs="仿宋_GB2312"/>
          <w:b/>
          <w:bCs/>
          <w:sz w:val="32"/>
          <w:szCs w:val="32"/>
          <w:lang w:val="zh-CN"/>
        </w:rPr>
      </w:pP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（二）营销类</w:t>
      </w:r>
    </w:p>
    <w:p>
      <w:pPr>
        <w:pStyle w:val="8"/>
        <w:spacing w:line="240" w:lineRule="atLeast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本月关于营销类问题的申诉共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人次，占全月用户申诉总量的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3.13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个百分点，与上月相比下降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44.44个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百分点，其中：申诉电信公司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人次，申诉移动公司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人次，申诉联通公司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人次。</w:t>
      </w:r>
    </w:p>
    <w:p>
      <w:pPr>
        <w:spacing w:line="360" w:lineRule="auto"/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kern w:val="0"/>
          <w:sz w:val="32"/>
          <w:szCs w:val="32"/>
        </w:rPr>
        <w:t>营销类统计表</w:t>
      </w:r>
    </w:p>
    <w:tbl>
      <w:tblPr>
        <w:tblStyle w:val="9"/>
        <w:tblW w:w="727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455"/>
        <w:gridCol w:w="1455"/>
        <w:gridCol w:w="1455"/>
        <w:gridCol w:w="14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4月份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3月份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占比%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60.00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40.00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-44.44</w:t>
            </w:r>
          </w:p>
        </w:tc>
      </w:tr>
    </w:tbl>
    <w:p>
      <w:pPr>
        <w:spacing w:line="360" w:lineRule="auto"/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</w:rPr>
      </w:pPr>
      <w:r>
        <w:rPr>
          <w:rFonts w:hint="eastAsia" w:ascii="楷体_GB2312" w:eastAsia="楷体_GB2312"/>
          <w:b/>
          <w:bCs/>
          <w:sz w:val="32"/>
        </w:rPr>
        <w:t>营销类统计对比图</w:t>
      </w:r>
    </w:p>
    <w:p>
      <w:pPr>
        <w:jc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4086225" cy="2124075"/>
            <wp:effectExtent l="4445" t="4445" r="5080" b="5080"/>
            <wp:docPr id="8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</w:rPr>
      </w:pPr>
      <w:r>
        <w:rPr>
          <w:rFonts w:hint="eastAsia" w:ascii="楷体_GB2312" w:eastAsia="楷体_GB2312"/>
          <w:b/>
          <w:bCs/>
          <w:sz w:val="32"/>
          <w:lang w:val="en-US" w:eastAsia="zh-CN"/>
        </w:rPr>
        <w:t>本月</w:t>
      </w:r>
      <w:r>
        <w:rPr>
          <w:rFonts w:hint="eastAsia" w:ascii="楷体_GB2312" w:eastAsia="楷体_GB2312"/>
          <w:b/>
          <w:bCs/>
          <w:sz w:val="32"/>
        </w:rPr>
        <w:t>营销类占比图</w:t>
      </w: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</w:rPr>
      </w:pPr>
      <w:r>
        <w:rPr>
          <w:color w:val="FF0000"/>
        </w:rPr>
        <w:drawing>
          <wp:inline distT="0" distB="0" distL="0" distR="0">
            <wp:extent cx="4210050" cy="2038985"/>
            <wp:effectExtent l="4445" t="5080" r="14605" b="13335"/>
            <wp:docPr id="9" name="图表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>
      <w:pPr>
        <w:pStyle w:val="8"/>
        <w:spacing w:line="360" w:lineRule="auto"/>
        <w:ind w:firstLine="0" w:firstLineChars="0"/>
        <w:jc w:val="center"/>
        <w:rPr>
          <w:rFonts w:ascii="楷体_GB2312" w:hAnsi="宋体" w:eastAsia="楷体_GB2312" w:cs="楷体_GB2312"/>
          <w:b/>
          <w:sz w:val="32"/>
          <w:szCs w:val="32"/>
        </w:rPr>
      </w:pPr>
    </w:p>
    <w:p>
      <w:pPr>
        <w:pStyle w:val="8"/>
        <w:spacing w:line="360" w:lineRule="auto"/>
        <w:ind w:firstLine="0" w:firstLineChars="0"/>
        <w:jc w:val="center"/>
        <w:rPr>
          <w:rFonts w:ascii="楷体_GB2312" w:hAnsi="宋体" w:eastAsia="楷体_GB2312" w:cs="楷体_GB2312"/>
          <w:b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sz w:val="32"/>
          <w:szCs w:val="32"/>
          <w:lang w:val="en-US" w:eastAsia="zh-CN"/>
        </w:rPr>
        <w:t>本月</w:t>
      </w:r>
      <w:r>
        <w:rPr>
          <w:rFonts w:hint="eastAsia" w:ascii="楷体_GB2312" w:hAnsi="宋体" w:eastAsia="楷体_GB2312" w:cs="楷体_GB2312"/>
          <w:b/>
          <w:sz w:val="32"/>
          <w:szCs w:val="32"/>
        </w:rPr>
        <w:t>营销类分项统计表</w:t>
      </w:r>
    </w:p>
    <w:tbl>
      <w:tblPr>
        <w:tblStyle w:val="9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</w:rPr>
            </w:pP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虚假宣传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营销扰民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不正当竞争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协议争议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强制服务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营销其他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</w:tbl>
    <w:p>
      <w:pPr>
        <w:pStyle w:val="8"/>
        <w:spacing w:line="360" w:lineRule="auto"/>
        <w:ind w:firstLine="643" w:firstLineChars="200"/>
        <w:jc w:val="center"/>
        <w:rPr>
          <w:rFonts w:ascii="楷体_GB2312" w:hAnsi="宋体" w:eastAsia="楷体_GB2312" w:cs="楷体_GB2312"/>
          <w:b/>
          <w:color w:val="FF0000"/>
          <w:sz w:val="32"/>
          <w:szCs w:val="32"/>
          <w:lang w:val="zh-CN"/>
        </w:rPr>
      </w:pPr>
    </w:p>
    <w:p>
      <w:pPr>
        <w:pStyle w:val="8"/>
        <w:spacing w:line="360" w:lineRule="auto"/>
        <w:ind w:firstLine="643" w:firstLineChars="200"/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</w:pPr>
    </w:p>
    <w:p>
      <w:pPr>
        <w:pStyle w:val="8"/>
        <w:spacing w:line="360" w:lineRule="auto"/>
        <w:ind w:firstLine="643" w:firstLineChars="200"/>
        <w:rPr>
          <w:rFonts w:ascii="楷体_GB2312" w:eastAsia="楷体_GB2312" w:cs="仿宋_GB2312"/>
          <w:b/>
          <w:bCs/>
          <w:sz w:val="32"/>
          <w:szCs w:val="32"/>
          <w:lang w:val="zh-CN"/>
        </w:rPr>
      </w:pP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（三）网络类</w:t>
      </w:r>
    </w:p>
    <w:p>
      <w:pPr>
        <w:spacing w:line="360" w:lineRule="auto"/>
        <w:ind w:firstLine="640" w:firstLineChars="200"/>
        <w:rPr>
          <w:rFonts w:ascii="仿宋_GB2312" w:hAnsi="Calibri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本月关于网络类问题的申诉共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人次，占全月总申诉量的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12.50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个百分点，与上月相比上升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81.82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个百分点，其中：申诉电信公司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人次，申诉移动公司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人次，申诉联通公司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人次。</w:t>
      </w:r>
    </w:p>
    <w:p>
      <w:pPr>
        <w:rPr>
          <w:rFonts w:ascii="宋体" w:hAnsi="宋体" w:cs="宋体"/>
          <w:kern w:val="0"/>
          <w:sz w:val="15"/>
          <w:szCs w:val="15"/>
        </w:rPr>
      </w:pPr>
      <w:r>
        <w:rPr>
          <w:rFonts w:hint="eastAsia" w:ascii="宋体" w:hAnsi="宋体" w:cs="宋体"/>
          <w:kern w:val="0"/>
        </w:rPr>
        <w:t xml:space="preserve">   </w:t>
      </w:r>
    </w:p>
    <w:p>
      <w:pPr>
        <w:spacing w:line="360" w:lineRule="auto"/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kern w:val="0"/>
          <w:sz w:val="32"/>
          <w:szCs w:val="32"/>
        </w:rPr>
        <w:t>网络类统计表</w:t>
      </w:r>
    </w:p>
    <w:tbl>
      <w:tblPr>
        <w:tblStyle w:val="9"/>
        <w:tblW w:w="74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455"/>
        <w:gridCol w:w="1455"/>
        <w:gridCol w:w="1455"/>
        <w:gridCol w:w="15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4月份</w:t>
            </w:r>
          </w:p>
        </w:tc>
        <w:tc>
          <w:tcPr>
            <w:tcW w:w="14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3月份</w:t>
            </w:r>
          </w:p>
        </w:tc>
        <w:tc>
          <w:tcPr>
            <w:tcW w:w="14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占比%</w:t>
            </w:r>
          </w:p>
        </w:tc>
        <w:tc>
          <w:tcPr>
            <w:tcW w:w="15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40.00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55.00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-66.67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81.82</w:t>
            </w:r>
          </w:p>
        </w:tc>
      </w:tr>
    </w:tbl>
    <w:p>
      <w:pPr>
        <w:spacing w:line="360" w:lineRule="auto"/>
        <w:jc w:val="center"/>
        <w:rPr>
          <w:rFonts w:hint="eastAsia" w:ascii="楷体_GB2312" w:eastAsia="楷体_GB2312"/>
          <w:b/>
          <w:bCs/>
          <w:sz w:val="32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</w:rPr>
      </w:pPr>
      <w:r>
        <w:rPr>
          <w:rFonts w:hint="eastAsia" w:ascii="楷体_GB2312" w:eastAsia="楷体_GB2312"/>
          <w:b/>
          <w:bCs/>
          <w:sz w:val="32"/>
        </w:rPr>
        <w:t>网络类统计对比图</w:t>
      </w:r>
      <w:r>
        <w:rPr>
          <w:color w:val="FF0000"/>
        </w:rPr>
        <w:drawing>
          <wp:inline distT="0" distB="0" distL="0" distR="0">
            <wp:extent cx="4050665" cy="1780540"/>
            <wp:effectExtent l="4445" t="4445" r="21590" b="5715"/>
            <wp:docPr id="10" name="图表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</w:rPr>
      </w:pPr>
      <w:r>
        <w:rPr>
          <w:rFonts w:hint="eastAsia" w:ascii="楷体_GB2312" w:eastAsia="楷体_GB2312"/>
          <w:b/>
          <w:bCs/>
          <w:sz w:val="32"/>
          <w:lang w:val="en-US" w:eastAsia="zh-CN"/>
        </w:rPr>
        <w:t>本月</w:t>
      </w:r>
      <w:r>
        <w:rPr>
          <w:rFonts w:hint="eastAsia" w:ascii="楷体_GB2312" w:eastAsia="楷体_GB2312"/>
          <w:b/>
          <w:bCs/>
          <w:sz w:val="32"/>
        </w:rPr>
        <w:t>网络类占比图</w:t>
      </w:r>
    </w:p>
    <w:p>
      <w:pPr>
        <w:spacing w:line="360" w:lineRule="auto"/>
        <w:jc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3792220" cy="1915160"/>
            <wp:effectExtent l="4445" t="4445" r="13335" b="10795"/>
            <wp:docPr id="11" name="图表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>
      <w:pPr>
        <w:spacing w:line="360" w:lineRule="auto"/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kern w:val="0"/>
          <w:sz w:val="32"/>
          <w:szCs w:val="32"/>
          <w:lang w:val="en-US" w:eastAsia="zh-CN"/>
        </w:rPr>
        <w:t>本月</w:t>
      </w:r>
      <w:r>
        <w:rPr>
          <w:rFonts w:hint="eastAsia" w:ascii="楷体_GB2312" w:hAnsi="宋体" w:eastAsia="楷体_GB2312" w:cs="楷体_GB2312"/>
          <w:b/>
          <w:kern w:val="0"/>
          <w:sz w:val="32"/>
          <w:szCs w:val="32"/>
        </w:rPr>
        <w:t>网络类分项统计表</w:t>
      </w:r>
    </w:p>
    <w:tbl>
      <w:tblPr>
        <w:tblStyle w:val="9"/>
        <w:tblW w:w="86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110"/>
        <w:gridCol w:w="1080"/>
        <w:gridCol w:w="108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网络覆盖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通信不畅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上网不畅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网络故障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网间故障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网络其他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</w:tr>
    </w:tbl>
    <w:p>
      <w:pPr>
        <w:spacing w:line="360" w:lineRule="auto"/>
        <w:jc w:val="center"/>
        <w:rPr>
          <w:rFonts w:ascii="楷体_GB2312" w:hAnsi="宋体" w:eastAsia="楷体_GB2312" w:cs="楷体_GB2312"/>
          <w:b/>
          <w:color w:val="FF0000"/>
          <w:kern w:val="0"/>
          <w:sz w:val="32"/>
          <w:szCs w:val="32"/>
        </w:rPr>
      </w:pPr>
    </w:p>
    <w:p>
      <w:pPr>
        <w:pStyle w:val="8"/>
        <w:spacing w:line="360" w:lineRule="auto"/>
        <w:ind w:firstLine="643" w:firstLineChars="200"/>
        <w:rPr>
          <w:rFonts w:ascii="楷体_GB2312" w:eastAsia="楷体_GB2312" w:cs="仿宋_GB2312"/>
          <w:sz w:val="32"/>
          <w:szCs w:val="32"/>
          <w:lang w:val="zh-CN"/>
        </w:rPr>
      </w:pP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（四）服务类</w:t>
      </w:r>
    </w:p>
    <w:p>
      <w:pPr>
        <w:spacing w:line="360" w:lineRule="auto"/>
        <w:ind w:firstLine="640" w:firstLineChars="200"/>
        <w:rPr>
          <w:rFonts w:ascii="仿宋_GB2312" w:hAnsi="Calibri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本月关于服务类问题的申诉共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68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人次，占全月总申诉量的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42.50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个百分点，与上月相比上升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78.95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个百分点，其中：申诉电信公司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32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人次，申诉移动公司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27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人次，申诉联通公司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人次。</w:t>
      </w:r>
    </w:p>
    <w:p>
      <w:pPr>
        <w:spacing w:line="360" w:lineRule="auto"/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kern w:val="0"/>
          <w:sz w:val="32"/>
          <w:szCs w:val="32"/>
        </w:rPr>
        <w:t>服务类统计表</w:t>
      </w:r>
    </w:p>
    <w:tbl>
      <w:tblPr>
        <w:tblStyle w:val="9"/>
        <w:tblW w:w="747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455"/>
        <w:gridCol w:w="1455"/>
        <w:gridCol w:w="1455"/>
        <w:gridCol w:w="165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4月份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3月份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占比%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47.06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113.33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39.71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13.24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78.95</w:t>
            </w:r>
          </w:p>
        </w:tc>
      </w:tr>
    </w:tbl>
    <w:p>
      <w:pPr>
        <w:spacing w:line="360" w:lineRule="auto"/>
        <w:jc w:val="center"/>
        <w:rPr>
          <w:rFonts w:ascii="楷体_GB2312" w:hAnsi="宋体" w:eastAsia="楷体_GB2312" w:cs="楷体_GB2312"/>
          <w:b/>
          <w:color w:val="FF0000"/>
          <w:kern w:val="0"/>
          <w:sz w:val="32"/>
          <w:szCs w:val="32"/>
          <w:lang w:val="zh-CN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  <w:r>
        <w:rPr>
          <w:rFonts w:hint="eastAsia" w:ascii="楷体_GB2312" w:eastAsia="楷体_GB2312"/>
          <w:b/>
          <w:bCs/>
          <w:sz w:val="32"/>
          <w:lang w:val="zh-CN"/>
        </w:rPr>
        <w:t>服务类统计对比图</w:t>
      </w: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  <w:lang w:val="zh-CN"/>
        </w:rPr>
      </w:pPr>
      <w:r>
        <w:rPr>
          <w:color w:val="FF0000"/>
        </w:rPr>
        <w:drawing>
          <wp:inline distT="0" distB="0" distL="0" distR="0">
            <wp:extent cx="4000500" cy="2019935"/>
            <wp:effectExtent l="4445" t="5080" r="14605" b="13335"/>
            <wp:docPr id="12" name="图表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  <w:lang w:val="zh-CN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  <w:r>
        <w:rPr>
          <w:rFonts w:hint="eastAsia" w:ascii="楷体_GB2312" w:eastAsia="楷体_GB2312"/>
          <w:b/>
          <w:bCs/>
          <w:sz w:val="32"/>
          <w:lang w:val="en-US" w:eastAsia="zh-CN"/>
        </w:rPr>
        <w:t>本月</w:t>
      </w:r>
      <w:r>
        <w:rPr>
          <w:rFonts w:hint="eastAsia" w:ascii="楷体_GB2312" w:eastAsia="楷体_GB2312"/>
          <w:b/>
          <w:bCs/>
          <w:sz w:val="32"/>
          <w:lang w:val="zh-CN"/>
        </w:rPr>
        <w:t>服务类占比图</w:t>
      </w:r>
    </w:p>
    <w:p>
      <w:pPr>
        <w:widowControl/>
        <w:jc w:val="center"/>
        <w:textAlignment w:val="bottom"/>
        <w:rPr>
          <w:color w:val="FF0000"/>
        </w:rPr>
      </w:pPr>
    </w:p>
    <w:p>
      <w:pPr>
        <w:widowControl/>
        <w:jc w:val="center"/>
        <w:textAlignment w:val="bottom"/>
        <w:rPr>
          <w:color w:val="FF0000"/>
        </w:rPr>
      </w:pPr>
      <w:r>
        <w:rPr>
          <w:color w:val="FF0000"/>
        </w:rPr>
        <w:drawing>
          <wp:inline distT="0" distB="0" distL="0" distR="0">
            <wp:extent cx="4105910" cy="1981200"/>
            <wp:effectExtent l="19050" t="0" r="27940" b="0"/>
            <wp:docPr id="13" name="图表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>
      <w:pPr>
        <w:widowControl/>
        <w:jc w:val="center"/>
        <w:textAlignment w:val="bottom"/>
        <w:rPr>
          <w:color w:val="FF0000"/>
          <w:lang w:val="zh-CN"/>
        </w:rPr>
      </w:pPr>
    </w:p>
    <w:p>
      <w:pPr>
        <w:pStyle w:val="8"/>
        <w:spacing w:line="360" w:lineRule="auto"/>
        <w:ind w:firstLine="0" w:firstLineChars="0"/>
        <w:jc w:val="center"/>
        <w:rPr>
          <w:rFonts w:ascii="楷体_GB2312" w:hAnsi="宋体" w:eastAsia="楷体_GB2312" w:cs="楷体_GB2312"/>
          <w:b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sz w:val="32"/>
          <w:szCs w:val="32"/>
          <w:lang w:val="en-US" w:eastAsia="zh-CN"/>
        </w:rPr>
        <w:t>本月</w:t>
      </w:r>
      <w:r>
        <w:rPr>
          <w:rFonts w:hint="eastAsia" w:ascii="楷体_GB2312" w:hAnsi="宋体" w:eastAsia="楷体_GB2312" w:cs="楷体_GB2312"/>
          <w:b/>
          <w:sz w:val="32"/>
          <w:szCs w:val="32"/>
        </w:rPr>
        <w:t>服务类分项统计表</w:t>
      </w:r>
    </w:p>
    <w:tbl>
      <w:tblPr>
        <w:tblStyle w:val="9"/>
        <w:tblW w:w="92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2"/>
        <w:gridCol w:w="1080"/>
        <w:gridCol w:w="1080"/>
        <w:gridCol w:w="1080"/>
        <w:gridCol w:w="1110"/>
        <w:gridCol w:w="1080"/>
        <w:gridCol w:w="1080"/>
        <w:gridCol w:w="1080"/>
        <w:gridCol w:w="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服务时限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服务退停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服务违约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服务态度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业务办理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携号转网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服务其他</w:t>
            </w:r>
          </w:p>
        </w:tc>
        <w:tc>
          <w:tcPr>
            <w:tcW w:w="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电信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移动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联通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合计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</w:tr>
    </w:tbl>
    <w:p>
      <w:pPr>
        <w:pStyle w:val="8"/>
        <w:spacing w:line="360" w:lineRule="auto"/>
        <w:ind w:firstLine="0" w:firstLineChars="0"/>
        <w:jc w:val="center"/>
        <w:rPr>
          <w:rFonts w:ascii="楷体_GB2312" w:hAnsi="宋体" w:eastAsia="楷体_GB2312" w:cs="楷体_GB2312"/>
          <w:b/>
          <w:color w:val="FF0000"/>
          <w:sz w:val="32"/>
          <w:szCs w:val="32"/>
          <w:lang w:val="zh-CN"/>
        </w:rPr>
      </w:pPr>
    </w:p>
    <w:p>
      <w:pPr>
        <w:pStyle w:val="8"/>
        <w:spacing w:line="360" w:lineRule="auto"/>
        <w:ind w:firstLine="418" w:firstLineChars="130"/>
        <w:rPr>
          <w:rFonts w:ascii="楷体_GB2312" w:eastAsia="楷体_GB2312" w:cs="仿宋_GB2312"/>
          <w:sz w:val="32"/>
          <w:szCs w:val="32"/>
          <w:lang w:val="zh-CN"/>
        </w:rPr>
      </w:pP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（五）收费类</w:t>
      </w:r>
    </w:p>
    <w:p>
      <w:pPr>
        <w:spacing w:line="360" w:lineRule="auto"/>
        <w:ind w:firstLine="640" w:firstLineChars="200"/>
        <w:rPr>
          <w:rFonts w:ascii="仿宋_GB2312" w:hAnsi="Calibri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本月关于收费类问题的申诉共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40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人次，占全月总申诉量的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25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个百分点，与上月相比上升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42.86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个百分点，其中：申诉电信公司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人次，申诉移动公司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人次，申诉联通公司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人次。</w:t>
      </w:r>
    </w:p>
    <w:p>
      <w:pPr>
        <w:spacing w:line="360" w:lineRule="auto"/>
        <w:jc w:val="center"/>
        <w:rPr>
          <w:rFonts w:hint="eastAsia" w:ascii="楷体_GB2312" w:hAnsi="宋体" w:eastAsia="楷体_GB2312" w:cs="楷体_GB2312"/>
          <w:b/>
          <w:kern w:val="0"/>
          <w:sz w:val="32"/>
          <w:szCs w:val="32"/>
        </w:rPr>
      </w:pPr>
    </w:p>
    <w:p>
      <w:pPr>
        <w:spacing w:line="360" w:lineRule="auto"/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kern w:val="0"/>
          <w:sz w:val="32"/>
          <w:szCs w:val="32"/>
        </w:rPr>
        <w:t>收费类统计表</w:t>
      </w:r>
    </w:p>
    <w:tbl>
      <w:tblPr>
        <w:tblStyle w:val="9"/>
        <w:tblW w:w="58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4月份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3月份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占比%</w:t>
            </w:r>
          </w:p>
        </w:tc>
        <w:tc>
          <w:tcPr>
            <w:tcW w:w="15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60.00</w:t>
            </w:r>
          </w:p>
        </w:tc>
        <w:tc>
          <w:tcPr>
            <w:tcW w:w="15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27.50</w:t>
            </w:r>
          </w:p>
        </w:tc>
        <w:tc>
          <w:tcPr>
            <w:tcW w:w="15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12.50</w:t>
            </w:r>
          </w:p>
        </w:tc>
        <w:tc>
          <w:tcPr>
            <w:tcW w:w="15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5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42.86</w:t>
            </w:r>
          </w:p>
        </w:tc>
      </w:tr>
    </w:tbl>
    <w:p>
      <w:pPr>
        <w:spacing w:line="360" w:lineRule="auto"/>
        <w:rPr>
          <w:rFonts w:ascii="楷体_GB2312" w:hAnsi="宋体" w:eastAsia="楷体_GB2312" w:cs="楷体_GB2312"/>
          <w:b/>
          <w:color w:val="FF0000"/>
          <w:kern w:val="0"/>
          <w:sz w:val="32"/>
          <w:szCs w:val="32"/>
          <w:lang w:val="zh-CN"/>
        </w:rPr>
      </w:pPr>
    </w:p>
    <w:p>
      <w:pPr>
        <w:spacing w:line="360" w:lineRule="auto"/>
        <w:jc w:val="center"/>
        <w:rPr>
          <w:rFonts w:ascii="宋体" w:hAnsi="宋体" w:cs="宋体"/>
          <w:kern w:val="0"/>
        </w:rPr>
      </w:pPr>
      <w:r>
        <w:rPr>
          <w:rFonts w:hint="eastAsia" w:ascii="楷体_GB2312" w:eastAsia="楷体_GB2312"/>
          <w:b/>
          <w:bCs/>
          <w:sz w:val="32"/>
          <w:lang w:val="zh-CN"/>
        </w:rPr>
        <w:t>收费类统计对比图</w:t>
      </w:r>
    </w:p>
    <w:p>
      <w:pPr>
        <w:jc w:val="center"/>
        <w:rPr>
          <w:rFonts w:ascii="宋体" w:hAnsi="宋体" w:cs="宋体"/>
          <w:color w:val="FF0000"/>
          <w:kern w:val="0"/>
        </w:rPr>
      </w:pPr>
      <w:r>
        <w:rPr>
          <w:color w:val="FF0000"/>
        </w:rPr>
        <w:drawing>
          <wp:inline distT="0" distB="0" distL="0" distR="0">
            <wp:extent cx="4000500" cy="1856740"/>
            <wp:effectExtent l="4445" t="5080" r="14605" b="5080"/>
            <wp:docPr id="14" name="图表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>
      <w:pPr>
        <w:spacing w:line="360" w:lineRule="auto"/>
        <w:jc w:val="center"/>
        <w:rPr>
          <w:rFonts w:ascii="楷体_GB2312" w:eastAsia="楷体_GB2312"/>
          <w:b/>
          <w:bCs/>
          <w:color w:val="FF0000"/>
          <w:sz w:val="32"/>
          <w:lang w:val="zh-CN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  <w:r>
        <w:rPr>
          <w:rFonts w:hint="eastAsia" w:ascii="楷体_GB2312" w:eastAsia="楷体_GB2312"/>
          <w:b/>
          <w:bCs/>
          <w:sz w:val="32"/>
          <w:lang w:val="en-US" w:eastAsia="zh-CN"/>
        </w:rPr>
        <w:t>本月</w:t>
      </w:r>
      <w:r>
        <w:rPr>
          <w:rFonts w:hint="eastAsia" w:ascii="楷体_GB2312" w:eastAsia="楷体_GB2312"/>
          <w:b/>
          <w:bCs/>
          <w:sz w:val="32"/>
          <w:lang w:val="zh-CN"/>
        </w:rPr>
        <w:t>收费类占比图</w:t>
      </w:r>
    </w:p>
    <w:p>
      <w:pPr>
        <w:spacing w:line="360" w:lineRule="auto"/>
        <w:jc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4238625" cy="1925320"/>
            <wp:effectExtent l="5080" t="5080" r="4445" b="12700"/>
            <wp:docPr id="15" name="图表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>
      <w:pPr>
        <w:spacing w:line="360" w:lineRule="auto"/>
        <w:jc w:val="center"/>
        <w:rPr>
          <w:rFonts w:ascii="楷体_GB2312" w:hAnsi="宋体" w:eastAsia="楷体_GB2312" w:cs="楷体_GB2312"/>
          <w:b/>
          <w:color w:val="FF0000"/>
          <w:kern w:val="0"/>
          <w:sz w:val="32"/>
          <w:szCs w:val="32"/>
        </w:rPr>
      </w:pPr>
    </w:p>
    <w:p>
      <w:pPr>
        <w:spacing w:line="360" w:lineRule="auto"/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kern w:val="0"/>
          <w:sz w:val="32"/>
          <w:szCs w:val="32"/>
          <w:lang w:val="en-US" w:eastAsia="zh-CN"/>
        </w:rPr>
        <w:t>本月</w:t>
      </w:r>
      <w:r>
        <w:rPr>
          <w:rFonts w:hint="eastAsia" w:ascii="楷体_GB2312" w:hAnsi="宋体" w:eastAsia="楷体_GB2312" w:cs="楷体_GB2312"/>
          <w:b/>
          <w:kern w:val="0"/>
          <w:sz w:val="32"/>
          <w:szCs w:val="32"/>
        </w:rPr>
        <w:t>收费类分项统计表</w:t>
      </w:r>
    </w:p>
    <w:tbl>
      <w:tblPr>
        <w:tblStyle w:val="9"/>
        <w:tblW w:w="91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065"/>
        <w:gridCol w:w="1155"/>
        <w:gridCol w:w="1005"/>
        <w:gridCol w:w="1147"/>
        <w:gridCol w:w="1080"/>
        <w:gridCol w:w="1080"/>
        <w:gridCol w:w="987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</w:rPr>
            </w:pPr>
          </w:p>
        </w:tc>
        <w:tc>
          <w:tcPr>
            <w:tcW w:w="10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计量差错</w:t>
            </w: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账单争议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收费差错</w:t>
            </w:r>
          </w:p>
        </w:tc>
        <w:tc>
          <w:tcPr>
            <w:tcW w:w="11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不明扣费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充值争议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APP收费</w:t>
            </w:r>
          </w:p>
        </w:tc>
        <w:tc>
          <w:tcPr>
            <w:tcW w:w="98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收费其他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0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8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0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8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0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8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0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1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98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</w:tr>
    </w:tbl>
    <w:p>
      <w:pPr>
        <w:pStyle w:val="8"/>
        <w:spacing w:line="360" w:lineRule="auto"/>
        <w:ind w:firstLine="643" w:firstLineChars="200"/>
        <w:jc w:val="center"/>
        <w:rPr>
          <w:rFonts w:ascii="楷体_GB2312" w:hAnsi="宋体" w:eastAsia="楷体_GB2312" w:cs="楷体_GB2312"/>
          <w:b/>
          <w:color w:val="FF0000"/>
          <w:sz w:val="32"/>
          <w:szCs w:val="32"/>
          <w:lang w:val="zh-CN"/>
        </w:rPr>
      </w:pPr>
    </w:p>
    <w:p>
      <w:pPr>
        <w:pStyle w:val="8"/>
        <w:spacing w:line="360" w:lineRule="auto"/>
        <w:ind w:firstLine="643" w:firstLineChars="200"/>
        <w:rPr>
          <w:rFonts w:ascii="楷体_GB2312" w:eastAsia="楷体_GB2312" w:cs="仿宋_GB2312"/>
          <w:b/>
          <w:bCs/>
          <w:sz w:val="32"/>
          <w:szCs w:val="32"/>
          <w:lang w:val="zh-CN"/>
        </w:rPr>
      </w:pP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（六）安全类</w:t>
      </w:r>
    </w:p>
    <w:p>
      <w:pPr>
        <w:spacing w:line="360" w:lineRule="auto"/>
        <w:ind w:firstLine="640" w:firstLineChars="200"/>
        <w:rPr>
          <w:rFonts w:ascii="仿宋_GB2312" w:hAnsi="Calibri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本月关于安全类问题的申诉共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人次，其中：申诉电信公司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0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人次，申诉移动公司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人次，申诉联通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0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人次。</w:t>
      </w:r>
    </w:p>
    <w:p>
      <w:pPr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kern w:val="0"/>
          <w:sz w:val="32"/>
          <w:szCs w:val="32"/>
        </w:rPr>
        <w:t>安全类统计表</w:t>
      </w:r>
    </w:p>
    <w:tbl>
      <w:tblPr>
        <w:tblStyle w:val="9"/>
        <w:tblW w:w="59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</w:rPr>
            </w:pP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4月份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3月份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占比%</w:t>
            </w:r>
          </w:p>
        </w:tc>
        <w:tc>
          <w:tcPr>
            <w:tcW w:w="159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59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</w:t>
            </w:r>
          </w:p>
        </w:tc>
        <w:tc>
          <w:tcPr>
            <w:tcW w:w="159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-66.67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59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59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-66.67</w:t>
            </w:r>
          </w:p>
        </w:tc>
      </w:tr>
    </w:tbl>
    <w:p>
      <w:pPr>
        <w:jc w:val="center"/>
        <w:rPr>
          <w:rFonts w:ascii="楷体_GB2312" w:hAnsi="宋体" w:eastAsia="楷体_GB2312" w:cs="楷体_GB2312"/>
          <w:b/>
          <w:color w:val="FF0000"/>
          <w:kern w:val="0"/>
          <w:sz w:val="32"/>
          <w:szCs w:val="32"/>
        </w:rPr>
      </w:pP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  <w:r>
        <w:rPr>
          <w:rFonts w:hint="eastAsia" w:ascii="楷体_GB2312" w:eastAsia="楷体_GB2312"/>
          <w:b/>
          <w:bCs/>
          <w:sz w:val="32"/>
          <w:lang w:val="zh-CN"/>
        </w:rPr>
        <w:t>安全类统计对比图</w:t>
      </w:r>
    </w:p>
    <w:p>
      <w:pPr>
        <w:jc w:val="center"/>
        <w:rPr>
          <w:rFonts w:ascii="宋体" w:hAnsi="宋体" w:cs="宋体"/>
          <w:color w:val="FF0000"/>
          <w:kern w:val="0"/>
        </w:rPr>
      </w:pPr>
      <w:r>
        <w:rPr>
          <w:color w:val="FF0000"/>
        </w:rPr>
        <w:drawing>
          <wp:inline distT="0" distB="0" distL="0" distR="0">
            <wp:extent cx="4067175" cy="1648460"/>
            <wp:effectExtent l="4445" t="4445" r="5080" b="23495"/>
            <wp:docPr id="16" name="图表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>
      <w:pPr>
        <w:jc w:val="center"/>
        <w:rPr>
          <w:color w:val="FF0000"/>
        </w:rPr>
      </w:pPr>
    </w:p>
    <w:p>
      <w:pPr>
        <w:jc w:val="center"/>
        <w:rPr>
          <w:rFonts w:ascii="楷体_GB2312" w:hAnsi="宋体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kern w:val="0"/>
          <w:sz w:val="32"/>
          <w:szCs w:val="32"/>
          <w:lang w:val="en-US" w:eastAsia="zh-CN"/>
        </w:rPr>
        <w:t>本月</w:t>
      </w:r>
      <w:r>
        <w:rPr>
          <w:rFonts w:hint="eastAsia" w:ascii="楷体_GB2312" w:hAnsi="宋体" w:eastAsia="楷体_GB2312" w:cs="楷体_GB2312"/>
          <w:b/>
          <w:kern w:val="0"/>
          <w:sz w:val="32"/>
          <w:szCs w:val="32"/>
        </w:rPr>
        <w:t>安全类分项统计表</w:t>
      </w:r>
    </w:p>
    <w:tbl>
      <w:tblPr>
        <w:tblStyle w:val="9"/>
        <w:tblW w:w="79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440"/>
        <w:gridCol w:w="108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</w:rPr>
            </w:pP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信息安全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网络安全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实名制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APP安全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安全其他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lang w:val="en-US" w:eastAsia="zh-CN"/>
              </w:rPr>
              <w:t>1</w:t>
            </w:r>
          </w:p>
        </w:tc>
      </w:tr>
    </w:tbl>
    <w:p>
      <w:pPr>
        <w:jc w:val="center"/>
        <w:rPr>
          <w:rFonts w:ascii="楷体_GB2312" w:hAnsi="宋体" w:eastAsia="楷体_GB2312" w:cs="楷体_GB2312"/>
          <w:b/>
          <w:color w:val="FF0000"/>
          <w:kern w:val="0"/>
          <w:sz w:val="32"/>
          <w:szCs w:val="32"/>
        </w:rPr>
      </w:pPr>
    </w:p>
    <w:p>
      <w:pPr>
        <w:pStyle w:val="8"/>
        <w:spacing w:line="360" w:lineRule="auto"/>
        <w:ind w:firstLine="643" w:firstLineChars="200"/>
        <w:rPr>
          <w:rFonts w:ascii="宋体" w:hAnsi="宋体" w:cs="宋体"/>
        </w:rPr>
      </w:pP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（</w:t>
      </w:r>
      <w:r>
        <w:rPr>
          <w:rFonts w:hint="eastAsia" w:ascii="楷体_GB2312" w:eastAsia="楷体_GB2312" w:cs="仿宋_GB2312"/>
          <w:b/>
          <w:bCs/>
          <w:sz w:val="32"/>
          <w:szCs w:val="32"/>
        </w:rPr>
        <w:t>七</w:t>
      </w: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）其他类</w:t>
      </w:r>
    </w:p>
    <w:p>
      <w:pPr>
        <w:spacing w:line="360" w:lineRule="auto"/>
        <w:jc w:val="center"/>
        <w:rPr>
          <w:rFonts w:ascii="楷体_GB2312" w:eastAsia="楷体_GB2312"/>
          <w:b/>
          <w:bCs/>
          <w:sz w:val="32"/>
          <w:lang w:val="zh-CN"/>
        </w:rPr>
      </w:pPr>
      <w:r>
        <w:rPr>
          <w:rFonts w:hint="eastAsia" w:ascii="楷体_GB2312" w:eastAsia="楷体_GB2312"/>
          <w:b/>
          <w:bCs/>
          <w:sz w:val="32"/>
          <w:lang w:val="zh-CN"/>
        </w:rPr>
        <w:t>其他类分类统计表</w:t>
      </w:r>
    </w:p>
    <w:tbl>
      <w:tblPr>
        <w:tblStyle w:val="9"/>
        <w:tblW w:w="7035" w:type="dxa"/>
        <w:tblInd w:w="114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065"/>
        <w:gridCol w:w="1215"/>
        <w:gridCol w:w="1291"/>
        <w:gridCol w:w="1139"/>
        <w:gridCol w:w="1290"/>
        <w:gridCol w:w="1035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/>
              </w:rPr>
              <w:t>撤诉信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/>
              </w:rPr>
              <w:t>非电信业务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/>
              </w:rPr>
              <w:t>表扬信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</w:pPr>
            <w:r>
              <w:rPr>
                <w:rFonts w:hint="eastAsia"/>
              </w:rPr>
              <w:t>建议信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/>
              </w:rPr>
              <w:t>其他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/>
              </w:rPr>
              <w:t>电信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0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0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0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/>
              </w:rPr>
              <w:t>移动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0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0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/>
              </w:rPr>
              <w:t>联通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0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0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asciiTheme="majorEastAsia" w:hAnsiTheme="majorEastAsia" w:eastAsiaTheme="majorEastAsia"/>
              </w:rPr>
              <w:t>0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/>
              </w:rPr>
              <w:t>合计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0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0</w:t>
            </w:r>
          </w:p>
        </w:tc>
      </w:tr>
    </w:tbl>
    <w:p>
      <w:pPr>
        <w:pStyle w:val="8"/>
        <w:numPr>
          <w:ilvl w:val="0"/>
          <w:numId w:val="0"/>
        </w:numPr>
        <w:spacing w:line="360" w:lineRule="auto"/>
        <w:rPr>
          <w:rFonts w:ascii="黑体" w:eastAsia="黑体" w:cs="仿宋_GB2312"/>
          <w:sz w:val="32"/>
          <w:szCs w:val="32"/>
          <w:lang w:val="zh-CN"/>
        </w:rPr>
      </w:pPr>
    </w:p>
    <w:p>
      <w:pPr>
        <w:pStyle w:val="8"/>
        <w:numPr>
          <w:ilvl w:val="0"/>
          <w:numId w:val="1"/>
        </w:numPr>
        <w:spacing w:line="360" w:lineRule="auto"/>
        <w:ind w:firstLine="640" w:firstLineChars="200"/>
        <w:rPr>
          <w:rFonts w:ascii="黑体" w:eastAsia="黑体" w:cs="仿宋_GB2312"/>
          <w:sz w:val="32"/>
          <w:szCs w:val="32"/>
          <w:lang w:val="zh-CN"/>
        </w:rPr>
      </w:pPr>
      <w:r>
        <w:rPr>
          <w:rFonts w:hint="eastAsia" w:ascii="黑体" w:eastAsia="黑体" w:cs="仿宋_GB2312"/>
          <w:sz w:val="32"/>
          <w:szCs w:val="32"/>
          <w:lang w:val="zh-CN"/>
        </w:rPr>
        <w:t>电信用户申诉处理情况</w:t>
      </w:r>
    </w:p>
    <w:p>
      <w:pPr>
        <w:pStyle w:val="8"/>
        <w:spacing w:line="360" w:lineRule="auto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本月我中心共受理申诉</w:t>
      </w:r>
      <w:r>
        <w:rPr>
          <w:rFonts w:hint="eastAsia" w:ascii="仿宋_GB2312" w:eastAsia="仿宋_GB2312" w:cs="仿宋_GB2312"/>
          <w:sz w:val="32"/>
          <w:szCs w:val="32"/>
        </w:rPr>
        <w:t>共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160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人次。转办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人次，占总申诉量的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2.50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个百分点，其中：电信公司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人次，移动公司</w:t>
      </w:r>
      <w:r>
        <w:rPr>
          <w:rFonts w:hint="eastAsia"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人次，联通公司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人次。另外协助上级部门办理信访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件。其中：电信公司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件，移动公司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件，联通公司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件。</w:t>
      </w:r>
    </w:p>
    <w:p>
      <w:pPr>
        <w:pStyle w:val="8"/>
        <w:tabs>
          <w:tab w:val="left" w:pos="612"/>
        </w:tabs>
        <w:spacing w:line="360" w:lineRule="auto"/>
        <w:ind w:firstLine="0" w:firstLineChars="0"/>
        <w:jc w:val="center"/>
        <w:rPr>
          <w:rFonts w:ascii="楷体_GB2312" w:hAnsi="宋体" w:eastAsia="楷体_GB2312" w:cs="楷体_GB2312"/>
          <w:b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sz w:val="32"/>
          <w:szCs w:val="32"/>
          <w:lang w:val="en-US" w:eastAsia="zh-CN"/>
        </w:rPr>
        <w:t>本月</w:t>
      </w:r>
      <w:r>
        <w:rPr>
          <w:rFonts w:hint="eastAsia" w:ascii="楷体_GB2312" w:hAnsi="宋体" w:eastAsia="楷体_GB2312" w:cs="楷体_GB2312"/>
          <w:b/>
          <w:sz w:val="32"/>
          <w:szCs w:val="32"/>
        </w:rPr>
        <w:t>各企业用户申诉分类统计表</w:t>
      </w:r>
    </w:p>
    <w:tbl>
      <w:tblPr>
        <w:tblStyle w:val="9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840"/>
        <w:gridCol w:w="840"/>
        <w:gridCol w:w="840"/>
        <w:gridCol w:w="840"/>
        <w:gridCol w:w="840"/>
        <w:gridCol w:w="840"/>
        <w:gridCol w:w="840"/>
        <w:gridCol w:w="840"/>
        <w:gridCol w:w="840"/>
        <w:gridCol w:w="840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资费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营销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网络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服务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收费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安全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其他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合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立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转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类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类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类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类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类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类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类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案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办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电信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移动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联通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合计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占比%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16.25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3.13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12.50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42.50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25.00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</w:tbl>
    <w:p>
      <w:pPr>
        <w:pStyle w:val="8"/>
        <w:tabs>
          <w:tab w:val="left" w:pos="612"/>
        </w:tabs>
        <w:spacing w:line="360" w:lineRule="auto"/>
        <w:ind w:firstLine="643" w:firstLineChars="200"/>
        <w:jc w:val="center"/>
        <w:rPr>
          <w:rFonts w:ascii="楷体_GB2312" w:hAnsi="宋体" w:eastAsia="楷体_GB2312" w:cs="楷体_GB2312"/>
          <w:b/>
          <w:color w:val="FF0000"/>
          <w:sz w:val="32"/>
          <w:szCs w:val="32"/>
        </w:rPr>
      </w:pPr>
    </w:p>
    <w:p>
      <w:pPr>
        <w:pStyle w:val="8"/>
        <w:tabs>
          <w:tab w:val="left" w:pos="612"/>
        </w:tabs>
        <w:spacing w:line="360" w:lineRule="auto"/>
        <w:ind w:firstLine="640" w:firstLineChars="200"/>
        <w:rPr>
          <w:rFonts w:ascii="黑体" w:eastAsia="黑体" w:cs="仿宋_GB2312"/>
          <w:sz w:val="32"/>
          <w:szCs w:val="32"/>
          <w:lang w:val="zh-CN"/>
        </w:rPr>
      </w:pPr>
      <w:r>
        <w:rPr>
          <w:rFonts w:hint="eastAsia" w:ascii="黑体" w:eastAsia="黑体" w:cs="仿宋_GB2312"/>
          <w:sz w:val="32"/>
          <w:szCs w:val="32"/>
        </w:rPr>
        <w:t>五、</w:t>
      </w:r>
      <w:r>
        <w:rPr>
          <w:rFonts w:hint="eastAsia" w:ascii="黑体" w:eastAsia="黑体" w:cs="仿宋_GB2312"/>
          <w:sz w:val="32"/>
          <w:szCs w:val="32"/>
          <w:lang w:val="zh-CN"/>
        </w:rPr>
        <w:t>百万用户申诉率</w:t>
      </w:r>
    </w:p>
    <w:tbl>
      <w:tblPr>
        <w:tblStyle w:val="9"/>
        <w:tblW w:w="749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7"/>
        <w:gridCol w:w="1848"/>
        <w:gridCol w:w="1902"/>
        <w:gridCol w:w="197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493" w:type="dxa"/>
            <w:gridSpan w:val="4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楷体_GB2312" w:hAnsi="宋体" w:eastAsia="楷体_GB2312" w:cs="楷体_GB2312"/>
                <w:b/>
                <w:sz w:val="32"/>
                <w:szCs w:val="32"/>
              </w:rPr>
            </w:pPr>
            <w:r>
              <w:rPr>
                <w:rFonts w:hint="eastAsia" w:ascii="楷体_GB2312" w:hAnsi="宋体" w:eastAsia="楷体_GB2312" w:cs="楷体_GB2312"/>
                <w:b/>
                <w:kern w:val="0"/>
                <w:sz w:val="32"/>
                <w:szCs w:val="32"/>
              </w:rPr>
              <w:t>百万用户申诉率统计表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7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 w:themeColor="text1"/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</w:rPr>
              <w:t>　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 w:themeColor="text1"/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</w:rPr>
              <w:t>电信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 w:themeColor="text1"/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</w:rPr>
              <w:t>移动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 w:themeColor="text1"/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</w:rPr>
              <w:t>联通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7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4月份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2.84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1.68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7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3月份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1.58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1.43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7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79.75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17.48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</w:tbl>
    <w:p>
      <w:pPr>
        <w:pStyle w:val="8"/>
        <w:spacing w:line="360" w:lineRule="auto"/>
        <w:ind w:firstLine="630" w:firstLineChars="300"/>
        <w:rPr>
          <w:rFonts w:ascii="黑体" w:eastAsia="黑体" w:cs="仿宋_GB2312"/>
          <w:szCs w:val="21"/>
        </w:rPr>
      </w:pPr>
      <w:r>
        <w:rPr>
          <w:rFonts w:hint="eastAsia" w:ascii="黑体" w:eastAsia="黑体" w:cs="仿宋_GB2312"/>
          <w:szCs w:val="21"/>
        </w:rPr>
        <w:t>注：此统计只做省内统计分析，不做考核依据。</w:t>
      </w:r>
    </w:p>
    <w:p>
      <w:pPr>
        <w:pStyle w:val="8"/>
        <w:spacing w:line="360" w:lineRule="auto"/>
        <w:ind w:firstLine="640" w:firstLineChars="200"/>
        <w:rPr>
          <w:rFonts w:ascii="黑体" w:eastAsia="黑体" w:cs="仿宋_GB2312"/>
          <w:sz w:val="32"/>
          <w:szCs w:val="32"/>
          <w:lang w:val="zh-CN"/>
        </w:rPr>
      </w:pPr>
      <w:r>
        <w:rPr>
          <w:rFonts w:hint="eastAsia" w:ascii="黑体" w:eastAsia="黑体" w:cs="仿宋_GB2312"/>
          <w:sz w:val="32"/>
          <w:szCs w:val="32"/>
          <w:lang w:val="zh-CN"/>
        </w:rPr>
        <w:t>六、重点问题申诉</w:t>
      </w:r>
    </w:p>
    <w:p>
      <w:pPr>
        <w:pStyle w:val="19"/>
        <w:numPr>
          <w:ilvl w:val="0"/>
          <w:numId w:val="2"/>
        </w:numPr>
        <w:spacing w:line="360" w:lineRule="auto"/>
        <w:ind w:leftChars="0" w:firstLineChars="0"/>
        <w:rPr>
          <w:rFonts w:ascii="楷体_GB2312" w:eastAsia="楷体_GB2312"/>
          <w:b/>
          <w:bCs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</w:rPr>
        <w:t>电信公司重点关注问题</w:t>
      </w:r>
    </w:p>
    <w:p>
      <w:pPr>
        <w:pStyle w:val="19"/>
        <w:spacing w:line="360" w:lineRule="auto"/>
        <w:ind w:left="468" w:leftChars="223" w:firstLine="1" w:firstLineChars="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固网电话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方面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停机后继续扣费。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br w:type="textWrapping"/>
      </w:r>
      <w:r>
        <w:rPr>
          <w:rFonts w:ascii="仿宋_GB2312" w:hAnsi="宋体" w:eastAsia="仿宋_GB2312" w:cs="宋体"/>
          <w:b/>
          <w:bCs/>
          <w:kern w:val="0"/>
          <w:sz w:val="32"/>
          <w:szCs w:val="32"/>
        </w:rPr>
        <w:t>固网宽带方面: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宽带故障维修超时；宽带装机无资源。</w:t>
      </w:r>
    </w:p>
    <w:p>
      <w:pPr>
        <w:pStyle w:val="19"/>
        <w:spacing w:line="360" w:lineRule="auto"/>
        <w:ind w:left="0" w:leftChars="0" w:firstLine="472" w:firstLineChars="14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移动电话方面: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手机疑似骚扰或诈骗被关停；流量使用争议；未经过机主同意擅自更改资费。</w:t>
      </w:r>
    </w:p>
    <w:p>
      <w:pPr>
        <w:pStyle w:val="19"/>
        <w:spacing w:line="360" w:lineRule="auto"/>
        <w:ind w:left="1063" w:hanging="643"/>
        <w:jc w:val="left"/>
        <w:rPr>
          <w:rFonts w:ascii="楷体_GB2312" w:hAnsi="楷体_GB2312" w:eastAsia="楷体_GB2312" w:cs="楷体_GB2312"/>
          <w:kern w:val="0"/>
          <w:sz w:val="32"/>
          <w:szCs w:val="32"/>
          <w:highlight w:val="yellow"/>
          <w:lang w:val="zh-CN"/>
        </w:rPr>
      </w:pPr>
      <w:r>
        <w:rPr>
          <w:rFonts w:hint="eastAsia" w:ascii="楷体_GB2312" w:eastAsia="楷体_GB2312"/>
          <w:b/>
          <w:bCs/>
          <w:sz w:val="32"/>
          <w:szCs w:val="32"/>
          <w:lang w:val="zh-CN"/>
        </w:rPr>
        <w:t>（</w:t>
      </w:r>
      <w:r>
        <w:rPr>
          <w:rFonts w:hint="eastAsia" w:ascii="楷体_GB2312" w:eastAsia="楷体_GB2312"/>
          <w:b/>
          <w:bCs/>
          <w:sz w:val="32"/>
          <w:szCs w:val="32"/>
        </w:rPr>
        <w:t>二</w:t>
      </w:r>
      <w:r>
        <w:rPr>
          <w:rFonts w:hint="eastAsia" w:ascii="楷体_GB2312" w:eastAsia="楷体_GB2312"/>
          <w:b/>
          <w:bCs/>
          <w:sz w:val="32"/>
          <w:szCs w:val="32"/>
          <w:lang w:val="zh-CN"/>
        </w:rPr>
        <w:t>）移动公司关注的重点问题</w:t>
      </w:r>
    </w:p>
    <w:p>
      <w:pPr>
        <w:pStyle w:val="19"/>
        <w:spacing w:line="360" w:lineRule="auto"/>
        <w:ind w:left="0" w:leftChars="0" w:firstLine="469" w:firstLineChars="146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移动电话方面：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退费金额无法正常打印发票质疑；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疫情期间限制用户线上更改资费套餐；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入网号码时被强制绑定协议；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短信功能被封停；资费套餐无故被更改；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保底消费无法取消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</w:p>
    <w:p>
      <w:pPr>
        <w:pStyle w:val="3"/>
        <w:ind w:left="420" w:left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上网流量方面：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流量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提醒不及时导致高额欠费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</w:p>
    <w:p>
      <w:pPr>
        <w:pStyle w:val="19"/>
        <w:numPr>
          <w:ilvl w:val="0"/>
          <w:numId w:val="0"/>
        </w:numPr>
        <w:spacing w:line="360" w:lineRule="auto"/>
        <w:ind w:firstLine="321" w:firstLineChars="1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固网宽带问题：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网速不达标；部分小区宽带无覆盖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</w:p>
    <w:p>
      <w:pPr>
        <w:pStyle w:val="19"/>
        <w:spacing w:line="360" w:lineRule="auto"/>
        <w:ind w:left="1063" w:hanging="643"/>
        <w:rPr>
          <w:rFonts w:ascii="楷体_GB2312" w:eastAsia="楷体_GB2312"/>
          <w:b/>
          <w:bCs/>
          <w:sz w:val="32"/>
          <w:szCs w:val="32"/>
          <w:lang w:val="zh-CN"/>
        </w:rPr>
      </w:pPr>
      <w:r>
        <w:rPr>
          <w:rFonts w:hint="eastAsia" w:ascii="楷体_GB2312" w:eastAsia="楷体_GB2312"/>
          <w:b/>
          <w:bCs/>
          <w:sz w:val="32"/>
          <w:szCs w:val="32"/>
          <w:lang w:val="zh-CN"/>
        </w:rPr>
        <w:t>（三）联通公司关注的重点问题</w:t>
      </w:r>
    </w:p>
    <w:p>
      <w:pPr>
        <w:ind w:firstLine="643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移动电话方面：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用户主要反映流量计费争议，包括流量提醒不及时超出较多流量、超流量时无法及时停机产生大额扣费、用户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称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未使用手机自动走流量、流量达封顶值后无法解封；用户对企业营销活动的规则及适用范围等不认可、人工办理业务时口头说明与合同内容有出入或提醒不到位。</w:t>
      </w:r>
    </w:p>
    <w:p>
      <w:pPr>
        <w:ind w:firstLine="643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固网宽带方面：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暂无。</w:t>
      </w:r>
    </w:p>
    <w:p>
      <w:pPr>
        <w:ind w:firstLine="643" w:firstLineChars="200"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ind w:firstLine="643" w:firstLineChars="200"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七、携号转网</w:t>
      </w:r>
    </w:p>
    <w:p>
      <w:pPr>
        <w:pStyle w:val="8"/>
        <w:spacing w:line="360" w:lineRule="auto"/>
        <w:ind w:firstLine="640" w:firstLineChars="200"/>
        <w:rPr>
          <w:rFonts w:ascii="仿宋_GB2312" w:hAnsi="宋体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本月携号转网共受理申诉及咨询建议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人次，均为咨询建议，无转办。本月受理总量与上月的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人次相比</w:t>
      </w:r>
      <w:r>
        <w:rPr>
          <w:rFonts w:hint="eastAsia" w:ascii="仿宋_GB2312" w:hAnsi="宋体" w:eastAsia="仿宋_GB2312" w:cs="宋体"/>
          <w:bCs/>
          <w:sz w:val="32"/>
          <w:szCs w:val="32"/>
          <w:lang w:eastAsia="zh-CN"/>
        </w:rPr>
        <w:t>上升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80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个百分点。其中，电信公司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人次，移动公司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人次，联通公司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人次。</w:t>
      </w:r>
    </w:p>
    <w:p>
      <w:pPr>
        <w:pStyle w:val="8"/>
        <w:spacing w:line="360" w:lineRule="auto"/>
        <w:ind w:firstLine="321"/>
        <w:jc w:val="center"/>
        <w:rPr>
          <w:rFonts w:hint="eastAsia" w:ascii="楷体_GB2312" w:hAnsi="宋体" w:eastAsia="楷体_GB2312" w:cs="楷体_GB2312"/>
          <w:b/>
          <w:sz w:val="32"/>
          <w:szCs w:val="32"/>
        </w:rPr>
      </w:pPr>
    </w:p>
    <w:p>
      <w:pPr>
        <w:pStyle w:val="8"/>
        <w:spacing w:line="360" w:lineRule="auto"/>
        <w:ind w:firstLine="321"/>
        <w:jc w:val="center"/>
        <w:rPr>
          <w:rFonts w:ascii="楷体_GB2312" w:hAnsi="宋体" w:eastAsia="楷体_GB2312" w:cs="楷体_GB2312"/>
          <w:b/>
          <w:sz w:val="32"/>
          <w:szCs w:val="32"/>
        </w:rPr>
      </w:pPr>
      <w:r>
        <w:rPr>
          <w:rFonts w:hint="eastAsia" w:ascii="楷体_GB2312" w:hAnsi="宋体" w:eastAsia="楷体_GB2312" w:cs="楷体_GB2312"/>
          <w:b/>
          <w:sz w:val="32"/>
          <w:szCs w:val="32"/>
        </w:rPr>
        <w:t>携号转网申诉统计表</w:t>
      </w:r>
    </w:p>
    <w:tbl>
      <w:tblPr>
        <w:tblStyle w:val="9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840"/>
        <w:gridCol w:w="840"/>
        <w:gridCol w:w="840"/>
        <w:gridCol w:w="840"/>
        <w:gridCol w:w="840"/>
        <w:gridCol w:w="840"/>
        <w:gridCol w:w="840"/>
        <w:gridCol w:w="840"/>
        <w:gridCol w:w="840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携出方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840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携入方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未知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未知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未知</w:t>
            </w:r>
          </w:p>
        </w:tc>
        <w:tc>
          <w:tcPr>
            <w:tcW w:w="840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咨询量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申诉量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</w:tr>
    </w:tbl>
    <w:p>
      <w:pPr>
        <w:pStyle w:val="8"/>
        <w:spacing w:line="360" w:lineRule="auto"/>
        <w:ind w:firstLine="321"/>
        <w:jc w:val="center"/>
        <w:rPr>
          <w:rFonts w:ascii="楷体_GB2312" w:hAnsi="宋体" w:eastAsia="楷体_GB2312" w:cs="楷体_GB2312"/>
          <w:b/>
          <w:sz w:val="32"/>
          <w:szCs w:val="32"/>
          <w:lang w:val="zh-CN"/>
        </w:rPr>
      </w:pPr>
    </w:p>
    <w:p>
      <w:pPr>
        <w:pStyle w:val="8"/>
        <w:spacing w:line="360" w:lineRule="auto"/>
        <w:ind w:firstLine="643" w:firstLineChars="200"/>
        <w:rPr>
          <w:rFonts w:ascii="仿宋_GB2312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携号转网用户反映的主要问题如下：</w:t>
      </w:r>
    </w:p>
    <w:p>
      <w:pPr>
        <w:pStyle w:val="8"/>
        <w:spacing w:line="360" w:lineRule="auto"/>
        <w:ind w:firstLine="630" w:firstLineChars="197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ascii="仿宋_GB2312" w:eastAsia="仿宋_GB2312" w:cs="仿宋_GB2312"/>
          <w:sz w:val="32"/>
          <w:szCs w:val="32"/>
          <w:lang w:val="zh-CN"/>
        </w:rPr>
        <w:t>1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企业增加携号转网限制条件，如</w:t>
      </w:r>
      <w:r>
        <w:rPr>
          <w:rFonts w:hint="eastAsia" w:ascii="仿宋_GB2312" w:hAnsi="宋体" w:eastAsia="仿宋_GB2312" w:cs="宋体"/>
          <w:bCs/>
          <w:sz w:val="32"/>
          <w:szCs w:val="32"/>
          <w:lang w:eastAsia="zh-CN"/>
        </w:rPr>
        <w:t>保底消费、合家欢活动等</w:t>
      </w:r>
      <w:r>
        <w:rPr>
          <w:rFonts w:hint="eastAsia" w:ascii="仿宋_GB2312" w:hAnsi="宋体" w:eastAsia="仿宋_GB2312" w:cs="宋体"/>
          <w:bCs/>
          <w:sz w:val="32"/>
          <w:szCs w:val="32"/>
        </w:rPr>
        <w:t>。</w:t>
      </w:r>
    </w:p>
    <w:p>
      <w:pPr>
        <w:pStyle w:val="8"/>
        <w:spacing w:line="360" w:lineRule="auto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ascii="仿宋_GB2312" w:eastAsia="仿宋_GB2312" w:cs="仿宋_GB2312"/>
          <w:sz w:val="32"/>
          <w:szCs w:val="32"/>
          <w:lang w:val="zh-CN"/>
        </w:rPr>
        <w:t>2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、转网后费用无法正常退还；无法接收短信、主被叫无法正常接通</w:t>
      </w:r>
      <w:r>
        <w:rPr>
          <w:rFonts w:hint="eastAsia" w:ascii="仿宋_GB2312" w:eastAsia="仿宋_GB2312" w:cs="仿宋_GB2312"/>
          <w:sz w:val="32"/>
          <w:szCs w:val="32"/>
        </w:rPr>
        <w:t>电话；</w:t>
      </w:r>
    </w:p>
    <w:p>
      <w:pPr>
        <w:pStyle w:val="19"/>
        <w:tabs>
          <w:tab w:val="left" w:pos="567"/>
        </w:tabs>
        <w:spacing w:line="360" w:lineRule="auto"/>
        <w:ind w:left="23" w:leftChars="11" w:firstLine="643" w:firstLineChars="200"/>
        <w:rPr>
          <w:rFonts w:ascii="黑体" w:eastAsia="黑体" w:cs="仿宋_GB2312"/>
          <w:b/>
          <w:sz w:val="32"/>
          <w:szCs w:val="32"/>
          <w:lang w:val="zh-CN"/>
        </w:rPr>
      </w:pPr>
      <w:r>
        <w:rPr>
          <w:rFonts w:hint="eastAsia" w:ascii="黑体" w:eastAsia="黑体" w:cs="仿宋_GB2312"/>
          <w:b/>
          <w:sz w:val="32"/>
          <w:szCs w:val="32"/>
          <w:lang w:val="zh-CN"/>
        </w:rPr>
        <w:tab/>
      </w:r>
      <w:r>
        <w:rPr>
          <w:rFonts w:hint="eastAsia" w:ascii="黑体" w:eastAsia="黑体" w:cs="仿宋_GB2312"/>
          <w:b/>
          <w:sz w:val="32"/>
          <w:szCs w:val="32"/>
          <w:lang w:val="zh-CN"/>
        </w:rPr>
        <w:t>八、</w:t>
      </w:r>
      <w:r>
        <w:rPr>
          <w:rFonts w:hint="eastAsia" w:ascii="黑体" w:eastAsia="黑体" w:cs="仿宋_GB2312"/>
          <w:b/>
          <w:sz w:val="32"/>
          <w:szCs w:val="32"/>
        </w:rPr>
        <w:t>对</w:t>
      </w:r>
      <w:r>
        <w:rPr>
          <w:rFonts w:hint="eastAsia" w:ascii="黑体" w:eastAsia="黑体" w:cs="仿宋_GB2312"/>
          <w:b/>
          <w:sz w:val="32"/>
          <w:szCs w:val="32"/>
          <w:lang w:val="zh-CN"/>
        </w:rPr>
        <w:t>其他企业</w:t>
      </w:r>
      <w:r>
        <w:rPr>
          <w:rFonts w:hint="eastAsia" w:ascii="黑体" w:eastAsia="黑体" w:cs="仿宋_GB2312"/>
          <w:b/>
          <w:sz w:val="32"/>
          <w:szCs w:val="32"/>
        </w:rPr>
        <w:t>的申诉</w:t>
      </w:r>
    </w:p>
    <w:p>
      <w:pPr>
        <w:pStyle w:val="19"/>
        <w:spacing w:line="360" w:lineRule="auto"/>
        <w:ind w:left="23" w:leftChars="11" w:firstLine="640" w:firstLineChars="200"/>
        <w:rPr>
          <w:rFonts w:ascii="仿宋_GB2312" w:eastAsia="仿宋_GB2312" w:cs="仿宋_GB2312"/>
          <w:sz w:val="32"/>
          <w:szCs w:val="32"/>
          <w:highlight w:val="yellow"/>
        </w:rPr>
      </w:pP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本月我中心共受理其他企业申诉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人次，与上月的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人次</w:t>
      </w:r>
      <w:r>
        <w:rPr>
          <w:rFonts w:hint="eastAsia" w:ascii="仿宋_GB2312" w:eastAsia="仿宋_GB2312"/>
          <w:sz w:val="32"/>
          <w:szCs w:val="32"/>
        </w:rPr>
        <w:t>相比</w:t>
      </w:r>
      <w:r>
        <w:rPr>
          <w:rFonts w:hint="eastAsia" w:ascii="仿宋_GB2312" w:eastAsia="仿宋_GB2312"/>
          <w:sz w:val="32"/>
          <w:szCs w:val="32"/>
          <w:lang w:eastAsia="zh-CN"/>
        </w:rPr>
        <w:t>持平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本月</w:t>
      </w:r>
      <w:r>
        <w:rPr>
          <w:rFonts w:hint="eastAsia" w:ascii="仿宋_GB2312" w:eastAsia="仿宋_GB2312" w:cs="仿宋_GB2312"/>
          <w:sz w:val="32"/>
          <w:szCs w:val="32"/>
        </w:rPr>
        <w:t>申诉广电公司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仿宋_GB2312"/>
          <w:sz w:val="32"/>
          <w:szCs w:val="32"/>
        </w:rPr>
        <w:t>人次，长城宽带公司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 w:cs="仿宋_GB2312"/>
          <w:sz w:val="32"/>
          <w:szCs w:val="32"/>
        </w:rPr>
        <w:t>人次，其他公司0人次。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另外协助上级部门办理信访</w:t>
      </w:r>
      <w:r>
        <w:rPr>
          <w:rFonts w:hint="eastAsia" w:ascii="仿宋_GB2312" w:eastAsia="仿宋_GB2312" w:cs="仿宋_GB2312"/>
          <w:sz w:val="32"/>
          <w:szCs w:val="32"/>
        </w:rPr>
        <w:t>0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件。</w:t>
      </w:r>
    </w:p>
    <w:p>
      <w:pPr>
        <w:pStyle w:val="19"/>
        <w:spacing w:line="360" w:lineRule="auto"/>
        <w:ind w:left="0" w:leftChars="0" w:firstLine="0" w:firstLineChars="0"/>
        <w:jc w:val="center"/>
        <w:rPr>
          <w:rFonts w:ascii="仿宋_GB2312" w:eastAsia="仿宋_GB2312" w:cs="仿宋_GB2312"/>
          <w:sz w:val="32"/>
          <w:szCs w:val="32"/>
          <w:lang w:val="zh-CN"/>
        </w:rPr>
      </w:pPr>
    </w:p>
    <w:tbl>
      <w:tblPr>
        <w:tblStyle w:val="9"/>
        <w:tblW w:w="834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"/>
        <w:gridCol w:w="927"/>
        <w:gridCol w:w="1080"/>
        <w:gridCol w:w="1395"/>
        <w:gridCol w:w="1110"/>
        <w:gridCol w:w="945"/>
        <w:gridCol w:w="1005"/>
        <w:gridCol w:w="10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344" w:type="dxa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楷体_GB2312" w:hAnsi="宋体" w:eastAsia="楷体_GB2312" w:cs="楷体_GB2312"/>
                <w:b/>
                <w:sz w:val="32"/>
                <w:szCs w:val="32"/>
              </w:rPr>
            </w:pPr>
            <w:r>
              <w:rPr>
                <w:rFonts w:hint="eastAsia" w:ascii="楷体_GB2312" w:hAnsi="宋体" w:eastAsia="楷体_GB2312" w:cs="楷体_GB2312"/>
                <w:b/>
                <w:kern w:val="0"/>
                <w:sz w:val="32"/>
                <w:szCs w:val="32"/>
              </w:rPr>
              <w:t>其他企业申诉量统计表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服务类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资费类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网络类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合计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咨询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转办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信访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广电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长宽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其他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合计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</w:tbl>
    <w:p>
      <w:pPr>
        <w:rPr>
          <w:rFonts w:ascii="仿宋_GB2312" w:eastAsia="仿宋_GB2312"/>
          <w:color w:val="FF0000"/>
          <w:sz w:val="32"/>
        </w:rPr>
      </w:pPr>
    </w:p>
    <w:p>
      <w:pPr>
        <w:rPr>
          <w:rFonts w:hint="eastAsia" w:ascii="仿宋_GB2312" w:eastAsia="仿宋_GB2312"/>
          <w:sz w:val="32"/>
        </w:rPr>
      </w:pPr>
    </w:p>
    <w:p>
      <w:pPr>
        <w:rPr>
          <w:rFonts w:ascii="方正小标宋_GBK" w:eastAsia="方正小标宋_GBK"/>
          <w:sz w:val="44"/>
          <w:szCs w:val="44"/>
        </w:rPr>
      </w:pPr>
      <w:r>
        <w:rPr>
          <w:rFonts w:hint="eastAsia" w:ascii="仿宋_GB2312" w:eastAsia="仿宋_GB2312"/>
          <w:sz w:val="32"/>
        </w:rPr>
        <w:t>附件：</w:t>
      </w:r>
      <w:r>
        <w:rPr>
          <w:rFonts w:ascii="仿宋_GB2312" w:eastAsia="仿宋_GB2312"/>
          <w:sz w:val="32"/>
        </w:rPr>
        <w:t>1</w:t>
      </w:r>
      <w:r>
        <w:rPr>
          <w:rFonts w:hint="eastAsia" w:ascii="仿宋_GB2312" w:eastAsia="仿宋_GB2312"/>
          <w:sz w:val="32"/>
        </w:rPr>
        <w:t>．</w:t>
      </w:r>
      <w:r>
        <w:rPr>
          <w:rFonts w:hint="eastAsia" w:ascii="仿宋_GB2312" w:eastAsia="仿宋_GB2312"/>
          <w:sz w:val="32"/>
          <w:szCs w:val="32"/>
        </w:rPr>
        <w:t>各电信运营企业处理回复量对比表</w:t>
      </w:r>
    </w:p>
    <w:p>
      <w:pPr>
        <w:ind w:firstLine="960" w:firstLineChars="3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</w:rPr>
        <w:t>2</w:t>
      </w:r>
      <w:r>
        <w:rPr>
          <w:rFonts w:hint="eastAsia" w:ascii="仿宋_GB2312" w:eastAsia="仿宋_GB2312"/>
          <w:sz w:val="32"/>
        </w:rPr>
        <w:t>．本</w:t>
      </w:r>
      <w:r>
        <w:rPr>
          <w:rFonts w:hint="eastAsia" w:ascii="仿宋_GB2312" w:eastAsia="仿宋_GB2312"/>
          <w:sz w:val="32"/>
          <w:szCs w:val="32"/>
        </w:rPr>
        <w:t>月份电信用户申诉所属地市统计表</w:t>
      </w:r>
    </w:p>
    <w:p>
      <w:pPr>
        <w:spacing w:line="360" w:lineRule="auto"/>
        <w:ind w:firstLine="4480" w:firstLineChars="1400"/>
        <w:rPr>
          <w:rFonts w:ascii="仿宋_GB2312" w:eastAsia="仿宋_GB2312"/>
          <w:color w:val="FF0000"/>
          <w:sz w:val="32"/>
        </w:rPr>
      </w:pPr>
    </w:p>
    <w:p>
      <w:pPr>
        <w:spacing w:line="360" w:lineRule="auto"/>
        <w:ind w:firstLine="4480" w:firstLineChars="1400"/>
        <w:rPr>
          <w:rFonts w:ascii="仿宋_GB2312" w:eastAsia="仿宋_GB2312"/>
          <w:color w:val="FF0000"/>
          <w:sz w:val="32"/>
        </w:rPr>
      </w:pPr>
    </w:p>
    <w:p>
      <w:pPr>
        <w:spacing w:line="360" w:lineRule="auto"/>
        <w:ind w:firstLine="4480" w:firstLineChars="1400"/>
        <w:rPr>
          <w:rFonts w:ascii="仿宋_GB2312" w:eastAsia="仿宋_GB2312"/>
          <w:color w:val="FF0000"/>
          <w:sz w:val="32"/>
        </w:rPr>
      </w:pPr>
    </w:p>
    <w:p>
      <w:pPr>
        <w:spacing w:line="360" w:lineRule="auto"/>
        <w:ind w:firstLine="4480" w:firstLineChars="1400"/>
        <w:rPr>
          <w:rFonts w:ascii="仿宋_GB2312" w:eastAsia="仿宋_GB2312"/>
          <w:color w:val="FF0000"/>
          <w:sz w:val="32"/>
        </w:rPr>
      </w:pPr>
    </w:p>
    <w:p>
      <w:pPr>
        <w:spacing w:line="360" w:lineRule="auto"/>
        <w:ind w:firstLine="4480" w:firstLineChars="1400"/>
        <w:rPr>
          <w:rFonts w:ascii="仿宋_GB2312" w:eastAsia="仿宋_GB2312"/>
          <w:color w:val="FF0000"/>
          <w:sz w:val="32"/>
        </w:rPr>
      </w:pPr>
    </w:p>
    <w:p>
      <w:pPr>
        <w:spacing w:line="360" w:lineRule="auto"/>
        <w:ind w:firstLine="4480" w:firstLineChars="1400"/>
        <w:rPr>
          <w:rFonts w:ascii="仿宋_GB2312" w:eastAsia="仿宋_GB2312"/>
          <w:color w:val="FF0000"/>
          <w:sz w:val="32"/>
        </w:rPr>
      </w:pPr>
    </w:p>
    <w:p>
      <w:pPr>
        <w:spacing w:line="360" w:lineRule="auto"/>
        <w:ind w:firstLine="4480" w:firstLineChars="14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湖北省通信行业协会电信</w:t>
      </w:r>
    </w:p>
    <w:p>
      <w:pPr>
        <w:spacing w:line="360" w:lineRule="auto"/>
        <w:ind w:firstLine="5120" w:firstLineChars="16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用户申诉受理中心</w:t>
      </w:r>
    </w:p>
    <w:p>
      <w:pPr>
        <w:spacing w:line="360" w:lineRule="auto"/>
        <w:ind w:firstLine="5120" w:firstLineChars="1600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>20</w:t>
      </w:r>
      <w:r>
        <w:rPr>
          <w:rFonts w:hint="eastAsia" w:ascii="仿宋_GB2312" w:eastAsia="仿宋_GB2312"/>
          <w:sz w:val="32"/>
        </w:rPr>
        <w:t>20年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10</w:t>
      </w:r>
      <w:r>
        <w:rPr>
          <w:rFonts w:hint="eastAsia" w:ascii="仿宋_GB2312" w:eastAsia="仿宋_GB2312"/>
          <w:sz w:val="32"/>
        </w:rPr>
        <w:t>日</w:t>
      </w:r>
    </w:p>
    <w:p>
      <w:pPr>
        <w:spacing w:line="360" w:lineRule="auto"/>
        <w:rPr>
          <w:rFonts w:ascii="仿宋_GB2312" w:eastAsia="仿宋_GB2312"/>
          <w:color w:val="FF0000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color w:val="FF0000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color w:val="FF0000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color w:val="FF0000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发：部电信管理局、部电信用户申诉受理中心，湖北省通信管理局，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湖北省通信行业协会。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送：中国电信股份有限公司湖北分公司、中国移动通信集团湖北有限</w:t>
      </w:r>
    </w:p>
    <w:p>
      <w:pPr>
        <w:spacing w:line="360" w:lineRule="auto"/>
        <w:rPr>
          <w:rFonts w:ascii="仿宋_GB2312" w:eastAsia="仿宋_GB2312"/>
          <w:sz w:val="28"/>
          <w:szCs w:val="28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531" w:right="1531" w:bottom="45" w:left="1531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sz w:val="28"/>
          <w:szCs w:val="28"/>
        </w:rPr>
        <w:t xml:space="preserve">    公司、中国联合网络通信有限公司湖北省分公司、湖北省通信用户委员会、湖北消费者委员会。</w:t>
      </w:r>
    </w:p>
    <w:p>
      <w:pPr>
        <w:rPr>
          <w:rFonts w:ascii="黑体" w:hAnsi="仿宋_GB2312" w:eastAsia="黑体" w:cs="仿宋_GB2312"/>
          <w:kern w:val="0"/>
          <w:sz w:val="32"/>
          <w:szCs w:val="32"/>
          <w:lang w:val="zh-CN"/>
        </w:rPr>
      </w:pPr>
      <w:r>
        <w:rPr>
          <w:rFonts w:hint="eastAsia" w:ascii="黑体" w:hAnsi="仿宋_GB2312" w:eastAsia="黑体" w:cs="仿宋_GB2312"/>
          <w:kern w:val="0"/>
          <w:sz w:val="32"/>
          <w:szCs w:val="32"/>
          <w:lang w:val="zh-CN"/>
        </w:rPr>
        <w:t>附件</w:t>
      </w:r>
      <w:r>
        <w:rPr>
          <w:rFonts w:ascii="黑体" w:hAnsi="仿宋_GB2312" w:eastAsia="黑体" w:cs="仿宋_GB2312"/>
          <w:kern w:val="0"/>
          <w:sz w:val="32"/>
          <w:szCs w:val="32"/>
          <w:lang w:val="zh-CN"/>
        </w:rPr>
        <w:t>1</w:t>
      </w:r>
    </w:p>
    <w:p>
      <w:pPr>
        <w:jc w:val="center"/>
        <w:rPr>
          <w:rFonts w:ascii="方正小标宋_GBK" w:eastAsia="方正小标宋_GBK"/>
          <w:color w:val="FF0000"/>
          <w:sz w:val="44"/>
          <w:szCs w:val="44"/>
        </w:rPr>
      </w:pPr>
    </w:p>
    <w:tbl>
      <w:tblPr>
        <w:tblStyle w:val="9"/>
        <w:tblW w:w="93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0"/>
        <w:gridCol w:w="1860"/>
        <w:gridCol w:w="1860"/>
        <w:gridCol w:w="1860"/>
        <w:gridCol w:w="1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300" w:type="dxa"/>
            <w:gridSpan w:val="5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方正小标宋_GBK" w:hAnsi="宋体" w:eastAsia="方正小标宋_GBK" w:cs="宋体"/>
                <w:color w:val="FF0000"/>
                <w:kern w:val="0"/>
                <w:sz w:val="44"/>
                <w:szCs w:val="44"/>
              </w:rPr>
            </w:pPr>
            <w:r>
              <w:rPr>
                <w:rFonts w:ascii="方正小标宋_GBK" w:hAnsi="方正小标宋_GBK" w:eastAsia="方正小标宋_GBK" w:cs="方正小标宋_GBK"/>
                <w:kern w:val="0"/>
                <w:sz w:val="44"/>
                <w:szCs w:val="44"/>
              </w:rPr>
              <w:t>各电信运营企业转办量对比表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8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kern w:val="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4月份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3月份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当月占比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8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电信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50.00%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8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移动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25.00%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8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联通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25.00%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8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合计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</w:tbl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宋体" w:hAnsi="宋体" w:cs="宋体"/>
          <w:color w:val="FF0000"/>
          <w:kern w:val="0"/>
        </w:rPr>
      </w:pPr>
    </w:p>
    <w:p>
      <w:pPr>
        <w:rPr>
          <w:rFonts w:ascii="黑体" w:hAnsi="仿宋_GB2312" w:eastAsia="黑体" w:cs="仿宋_GB2312"/>
          <w:kern w:val="0"/>
          <w:sz w:val="32"/>
          <w:szCs w:val="32"/>
          <w:lang w:val="zh-CN"/>
        </w:rPr>
      </w:pPr>
    </w:p>
    <w:p>
      <w:pPr>
        <w:rPr>
          <w:rFonts w:ascii="黑体" w:hAnsi="仿宋_GB2312" w:eastAsia="黑体" w:cs="仿宋_GB2312"/>
          <w:kern w:val="0"/>
          <w:sz w:val="32"/>
          <w:szCs w:val="32"/>
          <w:lang w:val="zh-CN"/>
        </w:rPr>
      </w:pPr>
      <w:r>
        <w:rPr>
          <w:rFonts w:hint="eastAsia" w:ascii="黑体" w:hAnsi="仿宋_GB2312" w:eastAsia="黑体" w:cs="仿宋_GB2312"/>
          <w:kern w:val="0"/>
          <w:sz w:val="32"/>
          <w:szCs w:val="32"/>
          <w:lang w:val="zh-CN"/>
        </w:rPr>
        <w:t>附件</w:t>
      </w:r>
      <w:r>
        <w:rPr>
          <w:rFonts w:ascii="黑体" w:hAnsi="仿宋_GB2312" w:eastAsia="黑体" w:cs="仿宋_GB2312"/>
          <w:kern w:val="0"/>
          <w:sz w:val="32"/>
          <w:szCs w:val="32"/>
          <w:lang w:val="zh-CN"/>
        </w:rPr>
        <w:t>2</w:t>
      </w:r>
    </w:p>
    <w:tbl>
      <w:tblPr>
        <w:tblStyle w:val="9"/>
        <w:tblW w:w="132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660"/>
        <w:gridCol w:w="1660"/>
        <w:gridCol w:w="1660"/>
        <w:gridCol w:w="1660"/>
        <w:gridCol w:w="1660"/>
        <w:gridCol w:w="1660"/>
        <w:gridCol w:w="16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280" w:type="dxa"/>
            <w:gridSpan w:val="8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color w:val="FF0000"/>
                <w:kern w:val="0"/>
                <w:sz w:val="44"/>
                <w:szCs w:val="44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44"/>
                <w:szCs w:val="44"/>
              </w:rPr>
              <w:t>本月电信用户申诉所属地市统计表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33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电信湖北公司</w:t>
            </w:r>
          </w:p>
        </w:tc>
        <w:tc>
          <w:tcPr>
            <w:tcW w:w="33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移动湖北公司</w:t>
            </w:r>
          </w:p>
        </w:tc>
        <w:tc>
          <w:tcPr>
            <w:tcW w:w="33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联通湖北公司</w:t>
            </w:r>
          </w:p>
        </w:tc>
        <w:tc>
          <w:tcPr>
            <w:tcW w:w="33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分公司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申诉人次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分公司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申诉人次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分公司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申诉人次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公司名称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申诉人次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武汉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武汉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武汉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广电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kern w:val="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黄石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黄石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黄石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长城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kern w:val="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十堰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十堰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十堰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其他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宜昌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宜昌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宜昌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襄阳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襄阳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襄阳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鄂州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鄂州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鄂州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荆门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荆门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荆门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孝感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孝感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孝感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荆州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荆州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荆州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黄冈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黄冈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黄冈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咸宁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咸宁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咸宁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随州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随州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随州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恩施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恩施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恩施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江汉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江汉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江汉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外省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外省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外省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kern w:val="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2</w:t>
            </w:r>
          </w:p>
        </w:tc>
      </w:tr>
    </w:tbl>
    <w:p>
      <w:pPr>
        <w:rPr>
          <w:rFonts w:ascii="宋体" w:hAnsi="宋体" w:cs="宋体"/>
          <w:color w:val="FF0000"/>
          <w:kern w:val="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76422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rPr>
            <w:lang w:val="zh-CN"/>
          </w:rPr>
          <w:fldChar w:fldCharType="end"/>
        </w:r>
      </w:p>
    </w:sdtContent>
  </w:sdt>
  <w:p>
    <w:pPr>
      <w:pStyle w:val="5"/>
      <w:ind w:right="840"/>
      <w:jc w:val="right"/>
      <w:rPr>
        <w:rFonts w:asci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10 -</w:t>
    </w:r>
    <w:r>
      <w:rPr>
        <w:rFonts w:ascii="宋体" w:hAnsi="宋体"/>
        <w:sz w:val="28"/>
        <w:szCs w:val="28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3C00BC"/>
    <w:multiLevelType w:val="multilevel"/>
    <w:tmpl w:val="473C00BC"/>
    <w:lvl w:ilvl="0" w:tentative="0">
      <w:start w:val="1"/>
      <w:numFmt w:val="japaneseCounting"/>
      <w:lvlText w:val="（%1）"/>
      <w:lvlJc w:val="left"/>
      <w:pPr>
        <w:ind w:left="1743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03" w:hanging="420"/>
      </w:pPr>
    </w:lvl>
    <w:lvl w:ilvl="2" w:tentative="0">
      <w:start w:val="1"/>
      <w:numFmt w:val="lowerRoman"/>
      <w:lvlText w:val="%3."/>
      <w:lvlJc w:val="right"/>
      <w:pPr>
        <w:ind w:left="1923" w:hanging="420"/>
      </w:pPr>
    </w:lvl>
    <w:lvl w:ilvl="3" w:tentative="0">
      <w:start w:val="1"/>
      <w:numFmt w:val="decimal"/>
      <w:lvlText w:val="%4."/>
      <w:lvlJc w:val="left"/>
      <w:pPr>
        <w:ind w:left="2343" w:hanging="420"/>
      </w:pPr>
    </w:lvl>
    <w:lvl w:ilvl="4" w:tentative="0">
      <w:start w:val="1"/>
      <w:numFmt w:val="lowerLetter"/>
      <w:lvlText w:val="%5)"/>
      <w:lvlJc w:val="left"/>
      <w:pPr>
        <w:ind w:left="2763" w:hanging="420"/>
      </w:pPr>
    </w:lvl>
    <w:lvl w:ilvl="5" w:tentative="0">
      <w:start w:val="1"/>
      <w:numFmt w:val="lowerRoman"/>
      <w:lvlText w:val="%6."/>
      <w:lvlJc w:val="right"/>
      <w:pPr>
        <w:ind w:left="3183" w:hanging="420"/>
      </w:pPr>
    </w:lvl>
    <w:lvl w:ilvl="6" w:tentative="0">
      <w:start w:val="1"/>
      <w:numFmt w:val="decimal"/>
      <w:lvlText w:val="%7."/>
      <w:lvlJc w:val="left"/>
      <w:pPr>
        <w:ind w:left="3603" w:hanging="420"/>
      </w:pPr>
    </w:lvl>
    <w:lvl w:ilvl="7" w:tentative="0">
      <w:start w:val="1"/>
      <w:numFmt w:val="lowerLetter"/>
      <w:lvlText w:val="%8)"/>
      <w:lvlJc w:val="left"/>
      <w:pPr>
        <w:ind w:left="4023" w:hanging="420"/>
      </w:pPr>
    </w:lvl>
    <w:lvl w:ilvl="8" w:tentative="0">
      <w:start w:val="1"/>
      <w:numFmt w:val="lowerRoman"/>
      <w:lvlText w:val="%9."/>
      <w:lvlJc w:val="right"/>
      <w:pPr>
        <w:ind w:left="4443" w:hanging="420"/>
      </w:pPr>
    </w:lvl>
  </w:abstractNum>
  <w:abstractNum w:abstractNumId="1">
    <w:nsid w:val="5A69371A"/>
    <w:multiLevelType w:val="singleLevel"/>
    <w:tmpl w:val="5A69371A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861C1"/>
    <w:rsid w:val="00000FAE"/>
    <w:rsid w:val="00015EDC"/>
    <w:rsid w:val="000A5006"/>
    <w:rsid w:val="000B2C9D"/>
    <w:rsid w:val="000C0349"/>
    <w:rsid w:val="00103511"/>
    <w:rsid w:val="001126D2"/>
    <w:rsid w:val="001153B7"/>
    <w:rsid w:val="001265C8"/>
    <w:rsid w:val="00147832"/>
    <w:rsid w:val="001C1221"/>
    <w:rsid w:val="001D38C7"/>
    <w:rsid w:val="002019FE"/>
    <w:rsid w:val="0021760A"/>
    <w:rsid w:val="00251F0D"/>
    <w:rsid w:val="00256E36"/>
    <w:rsid w:val="002876F7"/>
    <w:rsid w:val="00290BE4"/>
    <w:rsid w:val="002D3FAC"/>
    <w:rsid w:val="003034C6"/>
    <w:rsid w:val="0030430F"/>
    <w:rsid w:val="00315A94"/>
    <w:rsid w:val="00322654"/>
    <w:rsid w:val="003379DF"/>
    <w:rsid w:val="00340147"/>
    <w:rsid w:val="00371E6A"/>
    <w:rsid w:val="00391CC8"/>
    <w:rsid w:val="003D51D1"/>
    <w:rsid w:val="00482F56"/>
    <w:rsid w:val="00490608"/>
    <w:rsid w:val="004B2460"/>
    <w:rsid w:val="004B4938"/>
    <w:rsid w:val="004D4860"/>
    <w:rsid w:val="004F1798"/>
    <w:rsid w:val="00523943"/>
    <w:rsid w:val="00566BCF"/>
    <w:rsid w:val="005818C8"/>
    <w:rsid w:val="00584872"/>
    <w:rsid w:val="00595CE1"/>
    <w:rsid w:val="005A052A"/>
    <w:rsid w:val="005B00DB"/>
    <w:rsid w:val="00635DB8"/>
    <w:rsid w:val="0064003C"/>
    <w:rsid w:val="0067179F"/>
    <w:rsid w:val="006B2F25"/>
    <w:rsid w:val="006B4228"/>
    <w:rsid w:val="006B696A"/>
    <w:rsid w:val="006D2C51"/>
    <w:rsid w:val="006D4426"/>
    <w:rsid w:val="006E2152"/>
    <w:rsid w:val="006E2186"/>
    <w:rsid w:val="007573BB"/>
    <w:rsid w:val="007619AB"/>
    <w:rsid w:val="00762291"/>
    <w:rsid w:val="00782984"/>
    <w:rsid w:val="007D0433"/>
    <w:rsid w:val="007D2B56"/>
    <w:rsid w:val="0084353A"/>
    <w:rsid w:val="008540A3"/>
    <w:rsid w:val="008648FA"/>
    <w:rsid w:val="008E1C15"/>
    <w:rsid w:val="00907DAC"/>
    <w:rsid w:val="00963CB6"/>
    <w:rsid w:val="009C6261"/>
    <w:rsid w:val="009E00C9"/>
    <w:rsid w:val="009F79B5"/>
    <w:rsid w:val="00A165A0"/>
    <w:rsid w:val="00A25693"/>
    <w:rsid w:val="00A34C20"/>
    <w:rsid w:val="00A43D4E"/>
    <w:rsid w:val="00A81548"/>
    <w:rsid w:val="00A85563"/>
    <w:rsid w:val="00A96353"/>
    <w:rsid w:val="00AA7558"/>
    <w:rsid w:val="00AB7B48"/>
    <w:rsid w:val="00AF16B3"/>
    <w:rsid w:val="00B861C1"/>
    <w:rsid w:val="00C035C6"/>
    <w:rsid w:val="00C12251"/>
    <w:rsid w:val="00C12C37"/>
    <w:rsid w:val="00C251BF"/>
    <w:rsid w:val="00C93773"/>
    <w:rsid w:val="00C967CF"/>
    <w:rsid w:val="00CF2351"/>
    <w:rsid w:val="00D21551"/>
    <w:rsid w:val="00D264E7"/>
    <w:rsid w:val="00D65909"/>
    <w:rsid w:val="00D7408E"/>
    <w:rsid w:val="00D76EF0"/>
    <w:rsid w:val="00DE105B"/>
    <w:rsid w:val="00DE1CC6"/>
    <w:rsid w:val="00DE773B"/>
    <w:rsid w:val="00E510F9"/>
    <w:rsid w:val="00E64886"/>
    <w:rsid w:val="00E7031C"/>
    <w:rsid w:val="00EA2CC6"/>
    <w:rsid w:val="00EA4D99"/>
    <w:rsid w:val="00EA7601"/>
    <w:rsid w:val="00EB3D67"/>
    <w:rsid w:val="00ED751E"/>
    <w:rsid w:val="00EE5439"/>
    <w:rsid w:val="00F35370"/>
    <w:rsid w:val="00F4272E"/>
    <w:rsid w:val="00F82E91"/>
    <w:rsid w:val="00F9445D"/>
    <w:rsid w:val="00FA2F91"/>
    <w:rsid w:val="00FA6525"/>
    <w:rsid w:val="00FD6B24"/>
    <w:rsid w:val="01AE5FF4"/>
    <w:rsid w:val="01C6221C"/>
    <w:rsid w:val="02F2508D"/>
    <w:rsid w:val="031163A3"/>
    <w:rsid w:val="033D67B3"/>
    <w:rsid w:val="05114B8D"/>
    <w:rsid w:val="06125BAA"/>
    <w:rsid w:val="06451962"/>
    <w:rsid w:val="06A26FAE"/>
    <w:rsid w:val="06C66E2F"/>
    <w:rsid w:val="078C3DDC"/>
    <w:rsid w:val="083C504B"/>
    <w:rsid w:val="09143DB3"/>
    <w:rsid w:val="0A7E7C4F"/>
    <w:rsid w:val="0BA93651"/>
    <w:rsid w:val="0C013B23"/>
    <w:rsid w:val="0D271C3B"/>
    <w:rsid w:val="0EAC756F"/>
    <w:rsid w:val="0F332F32"/>
    <w:rsid w:val="0F9E393E"/>
    <w:rsid w:val="10647A58"/>
    <w:rsid w:val="108B70B9"/>
    <w:rsid w:val="10EE15A4"/>
    <w:rsid w:val="128E03B2"/>
    <w:rsid w:val="13F06BA6"/>
    <w:rsid w:val="14747F93"/>
    <w:rsid w:val="15804D01"/>
    <w:rsid w:val="172471CB"/>
    <w:rsid w:val="172D4522"/>
    <w:rsid w:val="18B078C9"/>
    <w:rsid w:val="195419F3"/>
    <w:rsid w:val="1981789D"/>
    <w:rsid w:val="1BFE4259"/>
    <w:rsid w:val="1C7039D5"/>
    <w:rsid w:val="1CB3390E"/>
    <w:rsid w:val="1D6712E4"/>
    <w:rsid w:val="1D694919"/>
    <w:rsid w:val="1DF85EDB"/>
    <w:rsid w:val="1E080140"/>
    <w:rsid w:val="1EAB10F2"/>
    <w:rsid w:val="1EE81248"/>
    <w:rsid w:val="1F06681F"/>
    <w:rsid w:val="20875403"/>
    <w:rsid w:val="20DE6B04"/>
    <w:rsid w:val="22761E40"/>
    <w:rsid w:val="228057DB"/>
    <w:rsid w:val="23A21413"/>
    <w:rsid w:val="23F515ED"/>
    <w:rsid w:val="24A91B8F"/>
    <w:rsid w:val="260B66CE"/>
    <w:rsid w:val="264B3A3A"/>
    <w:rsid w:val="2679252F"/>
    <w:rsid w:val="27306A79"/>
    <w:rsid w:val="27430C2D"/>
    <w:rsid w:val="28034665"/>
    <w:rsid w:val="28FC7947"/>
    <w:rsid w:val="29BB3585"/>
    <w:rsid w:val="2A0A0EEA"/>
    <w:rsid w:val="2A0D1A93"/>
    <w:rsid w:val="2A7A7F63"/>
    <w:rsid w:val="2AFE082D"/>
    <w:rsid w:val="2B21098C"/>
    <w:rsid w:val="2B7D42A7"/>
    <w:rsid w:val="2C5A2315"/>
    <w:rsid w:val="2D421D7F"/>
    <w:rsid w:val="2FF61222"/>
    <w:rsid w:val="320534ED"/>
    <w:rsid w:val="32865074"/>
    <w:rsid w:val="340A099F"/>
    <w:rsid w:val="347933A1"/>
    <w:rsid w:val="363B7267"/>
    <w:rsid w:val="37354568"/>
    <w:rsid w:val="38552F08"/>
    <w:rsid w:val="38667FCA"/>
    <w:rsid w:val="38C73BBE"/>
    <w:rsid w:val="391C3482"/>
    <w:rsid w:val="3AB748F3"/>
    <w:rsid w:val="3AC0579D"/>
    <w:rsid w:val="3B391CCD"/>
    <w:rsid w:val="3BB50347"/>
    <w:rsid w:val="3CCE31E9"/>
    <w:rsid w:val="3CDB39B2"/>
    <w:rsid w:val="3D084DDE"/>
    <w:rsid w:val="3E605D12"/>
    <w:rsid w:val="3E836803"/>
    <w:rsid w:val="3F4F3A8E"/>
    <w:rsid w:val="3F914BDD"/>
    <w:rsid w:val="3FD21C1D"/>
    <w:rsid w:val="3FF06419"/>
    <w:rsid w:val="40304A94"/>
    <w:rsid w:val="41226C63"/>
    <w:rsid w:val="415F165C"/>
    <w:rsid w:val="416C6F3F"/>
    <w:rsid w:val="41DC2736"/>
    <w:rsid w:val="42023836"/>
    <w:rsid w:val="421D6CD7"/>
    <w:rsid w:val="42A760E4"/>
    <w:rsid w:val="42E3722E"/>
    <w:rsid w:val="43604BAC"/>
    <w:rsid w:val="44391AD3"/>
    <w:rsid w:val="44B47AD1"/>
    <w:rsid w:val="44DD0850"/>
    <w:rsid w:val="46556D9C"/>
    <w:rsid w:val="472A539D"/>
    <w:rsid w:val="472D3797"/>
    <w:rsid w:val="475C3B6A"/>
    <w:rsid w:val="489F0366"/>
    <w:rsid w:val="4A172E03"/>
    <w:rsid w:val="4AC053C7"/>
    <w:rsid w:val="4AED7B5B"/>
    <w:rsid w:val="4EEE533A"/>
    <w:rsid w:val="51432D4F"/>
    <w:rsid w:val="52903844"/>
    <w:rsid w:val="52960F49"/>
    <w:rsid w:val="53BE63C5"/>
    <w:rsid w:val="53CB4070"/>
    <w:rsid w:val="53D8092F"/>
    <w:rsid w:val="547B52C7"/>
    <w:rsid w:val="55C6059F"/>
    <w:rsid w:val="566E347F"/>
    <w:rsid w:val="567E383C"/>
    <w:rsid w:val="568713A4"/>
    <w:rsid w:val="581B5C9C"/>
    <w:rsid w:val="582805A0"/>
    <w:rsid w:val="58E10BE1"/>
    <w:rsid w:val="59304813"/>
    <w:rsid w:val="5A763481"/>
    <w:rsid w:val="5B1914DD"/>
    <w:rsid w:val="5B650353"/>
    <w:rsid w:val="5BAF6359"/>
    <w:rsid w:val="5BE416B6"/>
    <w:rsid w:val="5C5148B1"/>
    <w:rsid w:val="5C5A791B"/>
    <w:rsid w:val="5C7076DE"/>
    <w:rsid w:val="5D2A4513"/>
    <w:rsid w:val="5F9D348D"/>
    <w:rsid w:val="606460C1"/>
    <w:rsid w:val="60EE3076"/>
    <w:rsid w:val="60F86297"/>
    <w:rsid w:val="61252723"/>
    <w:rsid w:val="62B4019A"/>
    <w:rsid w:val="62D9452E"/>
    <w:rsid w:val="6334730E"/>
    <w:rsid w:val="6387753D"/>
    <w:rsid w:val="644C3048"/>
    <w:rsid w:val="649332CB"/>
    <w:rsid w:val="650633FC"/>
    <w:rsid w:val="656D467F"/>
    <w:rsid w:val="65B50B7E"/>
    <w:rsid w:val="66440DFA"/>
    <w:rsid w:val="67254828"/>
    <w:rsid w:val="67AB7B48"/>
    <w:rsid w:val="68174A2A"/>
    <w:rsid w:val="6A4133F9"/>
    <w:rsid w:val="6ACA052E"/>
    <w:rsid w:val="6AE836D4"/>
    <w:rsid w:val="6B6E1C39"/>
    <w:rsid w:val="6BF87BCD"/>
    <w:rsid w:val="6C216CDA"/>
    <w:rsid w:val="6C3E374C"/>
    <w:rsid w:val="6C4A4515"/>
    <w:rsid w:val="6D4E6C29"/>
    <w:rsid w:val="6DA653E9"/>
    <w:rsid w:val="6E1672A7"/>
    <w:rsid w:val="6FCC6409"/>
    <w:rsid w:val="6FD206D2"/>
    <w:rsid w:val="715874B5"/>
    <w:rsid w:val="71BD7D6E"/>
    <w:rsid w:val="72616AE7"/>
    <w:rsid w:val="727E3053"/>
    <w:rsid w:val="7320133F"/>
    <w:rsid w:val="7335378C"/>
    <w:rsid w:val="75C64C79"/>
    <w:rsid w:val="76680B25"/>
    <w:rsid w:val="76995444"/>
    <w:rsid w:val="773D0802"/>
    <w:rsid w:val="79293987"/>
    <w:rsid w:val="79F62D2F"/>
    <w:rsid w:val="7AB916D4"/>
    <w:rsid w:val="7ABF2F86"/>
    <w:rsid w:val="7C5311E4"/>
    <w:rsid w:val="7CF87D05"/>
    <w:rsid w:val="7D2B0084"/>
    <w:rsid w:val="7DD46DFB"/>
    <w:rsid w:val="7F3D5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unhideWhenUsed/>
    <w:qFormat/>
    <w:uiPriority w:val="99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20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20"/>
    </w:rPr>
  </w:style>
  <w:style w:type="paragraph" w:styleId="7">
    <w:name w:val="Title"/>
    <w:basedOn w:val="1"/>
    <w:next w:val="1"/>
    <w:link w:val="1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8">
    <w:name w:val="Body Text First Indent"/>
    <w:basedOn w:val="1"/>
    <w:link w:val="13"/>
    <w:qFormat/>
    <w:uiPriority w:val="99"/>
    <w:pPr>
      <w:spacing w:after="120"/>
      <w:ind w:firstLine="420" w:firstLineChars="100"/>
    </w:pPr>
    <w:rPr>
      <w:rFonts w:ascii="Calibri" w:hAnsi="Calibri"/>
      <w:kern w:val="0"/>
      <w:szCs w:val="20"/>
    </w:rPr>
  </w:style>
  <w:style w:type="character" w:customStyle="1" w:styleId="11">
    <w:name w:val="标题 Char"/>
    <w:basedOn w:val="10"/>
    <w:link w:val="7"/>
    <w:qFormat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2">
    <w:name w:val="正文文本 Char"/>
    <w:basedOn w:val="10"/>
    <w:link w:val="2"/>
    <w:semiHidden/>
    <w:qFormat/>
    <w:uiPriority w:val="99"/>
    <w:rPr>
      <w:rFonts w:ascii="Times New Roman" w:hAnsi="Times New Roman" w:eastAsia="宋体" w:cs="Times New Roman"/>
      <w:szCs w:val="21"/>
    </w:rPr>
  </w:style>
  <w:style w:type="character" w:customStyle="1" w:styleId="13">
    <w:name w:val="正文首行缩进 Char"/>
    <w:basedOn w:val="12"/>
    <w:link w:val="8"/>
    <w:qFormat/>
    <w:uiPriority w:val="99"/>
    <w:rPr>
      <w:rFonts w:ascii="Calibri" w:hAnsi="Calibri" w:eastAsia="宋体" w:cs="Times New Roman"/>
      <w:kern w:val="0"/>
      <w:szCs w:val="20"/>
    </w:rPr>
  </w:style>
  <w:style w:type="character" w:customStyle="1" w:styleId="14">
    <w:name w:val="批注框文本 Char"/>
    <w:basedOn w:val="10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rFonts w:ascii="Calibri" w:hAnsi="Calibri" w:eastAsia="宋体" w:cs="Times New Roman"/>
      <w:kern w:val="0"/>
      <w:sz w:val="18"/>
      <w:szCs w:val="20"/>
    </w:rPr>
  </w:style>
  <w:style w:type="character" w:customStyle="1" w:styleId="16">
    <w:name w:val="页眉 Char"/>
    <w:basedOn w:val="10"/>
    <w:link w:val="6"/>
    <w:qFormat/>
    <w:uiPriority w:val="99"/>
    <w:rPr>
      <w:rFonts w:ascii="Calibri" w:hAnsi="Calibri" w:eastAsia="宋体" w:cs="Times New Roman"/>
      <w:kern w:val="0"/>
      <w:sz w:val="18"/>
      <w:szCs w:val="20"/>
    </w:rPr>
  </w:style>
  <w:style w:type="character" w:customStyle="1" w:styleId="17">
    <w:name w:val="font2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8">
    <w:name w:val="font1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9">
    <w:name w:val="列表 41"/>
    <w:basedOn w:val="1"/>
    <w:qFormat/>
    <w:uiPriority w:val="99"/>
    <w:pPr>
      <w:ind w:left="100" w:leftChars="200" w:hanging="200" w:hangingChars="200"/>
    </w:p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1">
    <w:name w:val="font3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2.xml"/><Relationship Id="rId8" Type="http://schemas.openxmlformats.org/officeDocument/2006/relationships/chart" Target="charts/chart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chart" Target="charts/chart15.xml"/><Relationship Id="rId21" Type="http://schemas.openxmlformats.org/officeDocument/2006/relationships/chart" Target="charts/chart14.xml"/><Relationship Id="rId20" Type="http://schemas.openxmlformats.org/officeDocument/2006/relationships/chart" Target="charts/chart13.xml"/><Relationship Id="rId2" Type="http://schemas.openxmlformats.org/officeDocument/2006/relationships/settings" Target="settings.xml"/><Relationship Id="rId19" Type="http://schemas.openxmlformats.org/officeDocument/2006/relationships/chart" Target="charts/chart12.xml"/><Relationship Id="rId18" Type="http://schemas.openxmlformats.org/officeDocument/2006/relationships/chart" Target="charts/chart11.xml"/><Relationship Id="rId17" Type="http://schemas.openxmlformats.org/officeDocument/2006/relationships/chart" Target="charts/chart10.xml"/><Relationship Id="rId16" Type="http://schemas.openxmlformats.org/officeDocument/2006/relationships/chart" Target="charts/chart9.xml"/><Relationship Id="rId15" Type="http://schemas.openxmlformats.org/officeDocument/2006/relationships/chart" Target="charts/chart8.xml"/><Relationship Id="rId14" Type="http://schemas.openxmlformats.org/officeDocument/2006/relationships/chart" Target="charts/chart7.xml"/><Relationship Id="rId13" Type="http://schemas.openxmlformats.org/officeDocument/2006/relationships/chart" Target="charts/chart6.xml"/><Relationship Id="rId12" Type="http://schemas.openxmlformats.org/officeDocument/2006/relationships/chart" Target="charts/chart5.xml"/><Relationship Id="rId11" Type="http://schemas.openxmlformats.org/officeDocument/2006/relationships/chart" Target="charts/chart4.xml"/><Relationship Id="rId10" Type="http://schemas.openxmlformats.org/officeDocument/2006/relationships/chart" Target="charts/chart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5.bin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4.bin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3.bin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7.bin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2.bin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.bin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6.bin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0.bin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2.bin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9.bin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8.bin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1.bin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3.bin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5.bin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4.bin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4月份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资费</c:v>
                </c:pt>
                <c:pt idx="1">
                  <c:v>营销</c:v>
                </c:pt>
                <c:pt idx="2">
                  <c:v>网络</c:v>
                </c:pt>
                <c:pt idx="3">
                  <c:v>服务</c:v>
                </c:pt>
                <c:pt idx="4">
                  <c:v>收费</c:v>
                </c:pt>
                <c:pt idx="5">
                  <c:v>安全</c:v>
                </c:pt>
                <c:pt idx="6">
                  <c:v>其他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26</c:v>
                </c:pt>
                <c:pt idx="1">
                  <c:v>5</c:v>
                </c:pt>
                <c:pt idx="2">
                  <c:v>20</c:v>
                </c:pt>
                <c:pt idx="3">
                  <c:v>68</c:v>
                </c:pt>
                <c:pt idx="4">
                  <c:v>40</c:v>
                </c:pt>
                <c:pt idx="5">
                  <c:v>1</c:v>
                </c:pt>
                <c:pt idx="6">
                  <c:v>0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3月份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资费</c:v>
                </c:pt>
                <c:pt idx="1">
                  <c:v>营销</c:v>
                </c:pt>
                <c:pt idx="2">
                  <c:v>网络</c:v>
                </c:pt>
                <c:pt idx="3">
                  <c:v>服务</c:v>
                </c:pt>
                <c:pt idx="4">
                  <c:v>收费</c:v>
                </c:pt>
                <c:pt idx="5">
                  <c:v>安全</c:v>
                </c:pt>
                <c:pt idx="6">
                  <c:v>其他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  <c:pt idx="0">
                  <c:v>26</c:v>
                </c:pt>
                <c:pt idx="1">
                  <c:v>9</c:v>
                </c:pt>
                <c:pt idx="2">
                  <c:v>11</c:v>
                </c:pt>
                <c:pt idx="3">
                  <c:v>38</c:v>
                </c:pt>
                <c:pt idx="4">
                  <c:v>28</c:v>
                </c:pt>
                <c:pt idx="5">
                  <c:v>3</c:v>
                </c:pt>
                <c:pt idx="6">
                  <c:v>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92173824"/>
        <c:axId val="92175744"/>
      </c:barChart>
      <c:catAx>
        <c:axId val="92173824"/>
        <c:scaling>
          <c:orientation val="minMax"/>
        </c:scaling>
        <c:delete val="0"/>
        <c:axPos val="b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2175744"/>
        <c:crosses val="autoZero"/>
        <c:auto val="1"/>
        <c:lblAlgn val="ctr"/>
        <c:lblOffset val="100"/>
        <c:noMultiLvlLbl val="0"/>
      </c:catAx>
      <c:valAx>
        <c:axId val="92175744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21738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4月份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Lbls>
            <c:dLbl>
              <c:idx val="0"/>
              <c:layout>
                <c:manualLayout>
                  <c:x val="0.121662635307841"/>
                  <c:y val="0.0031745406824147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116119393234913"/>
                  <c:y val="0.121764198177711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.0987361547126877"/>
                  <c:y val="0.231810586176728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0.108827330686228"/>
                  <c:y val="-0.11366238742888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148620245998662"/>
                  <c:y val="0.183472878390201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0.14289285734708"/>
                  <c:y val="0.000267279090113738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Sheet1!$A$2:$A$8</c:f>
              <c:strCache>
                <c:ptCount val="7"/>
                <c:pt idx="0">
                  <c:v>资费</c:v>
                </c:pt>
                <c:pt idx="1">
                  <c:v>营销</c:v>
                </c:pt>
                <c:pt idx="2">
                  <c:v>网络</c:v>
                </c:pt>
                <c:pt idx="3">
                  <c:v>服务</c:v>
                </c:pt>
                <c:pt idx="4">
                  <c:v>收费</c:v>
                </c:pt>
                <c:pt idx="5">
                  <c:v>安全</c:v>
                </c:pt>
                <c:pt idx="6">
                  <c:v>其他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26</c:v>
                </c:pt>
                <c:pt idx="1">
                  <c:v>5</c:v>
                </c:pt>
                <c:pt idx="2">
                  <c:v>20</c:v>
                </c:pt>
                <c:pt idx="3">
                  <c:v>68</c:v>
                </c:pt>
                <c:pt idx="4">
                  <c:v>40</c:v>
                </c:pt>
                <c:pt idx="5">
                  <c:v>1</c:v>
                </c:pt>
                <c:pt idx="6">
                  <c:v>0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4月份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81</c:v>
                </c:pt>
                <c:pt idx="1">
                  <c:v>62</c:v>
                </c:pt>
                <c:pt idx="2">
                  <c:v>17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3月份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45</c:v>
                </c:pt>
                <c:pt idx="1">
                  <c:v>53</c:v>
                </c:pt>
                <c:pt idx="2">
                  <c:v>17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92691456"/>
        <c:axId val="92705536"/>
      </c:barChart>
      <c:catAx>
        <c:axId val="9269145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92705536"/>
        <c:crosses val="autoZero"/>
        <c:auto val="1"/>
        <c:lblAlgn val="ctr"/>
        <c:lblOffset val="100"/>
        <c:noMultiLvlLbl val="0"/>
      </c:catAx>
      <c:valAx>
        <c:axId val="92705536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92691456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4月份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dLbl>
              <c:idx val="0"/>
              <c:layout>
                <c:manualLayout>
                  <c:x val="0.0356768883157943"/>
                  <c:y val="0.03211905538444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659128419758341"/>
                  <c:y val="0.0248749055213786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18846411804158"/>
                      <c:h val="0.167079207920792"/>
                    </c:manualLayout>
                  </c15:layout>
                </c:ext>
              </c:extLst>
            </c:dLbl>
            <c:dLbl>
              <c:idx val="2"/>
              <c:layout>
                <c:manualLayout>
                  <c:x val="-0.0644052966169985"/>
                  <c:y val="0.037124074660946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81</c:v>
                </c:pt>
                <c:pt idx="1">
                  <c:v>62</c:v>
                </c:pt>
                <c:pt idx="2">
                  <c:v>17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4月份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17</c:v>
                </c:pt>
                <c:pt idx="1">
                  <c:v>9</c:v>
                </c:pt>
                <c:pt idx="2">
                  <c:v>0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3月份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7</c:v>
                </c:pt>
                <c:pt idx="1">
                  <c:v>15</c:v>
                </c:pt>
                <c:pt idx="2">
                  <c:v>4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93560192"/>
        <c:axId val="93586944"/>
      </c:barChart>
      <c:catAx>
        <c:axId val="93560192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93586944"/>
        <c:crosses val="autoZero"/>
        <c:auto val="1"/>
        <c:lblAlgn val="ctr"/>
        <c:lblOffset val="100"/>
        <c:noMultiLvlLbl val="0"/>
      </c:catAx>
      <c:valAx>
        <c:axId val="93586944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93560192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4月份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dLbl>
              <c:idx val="0"/>
              <c:layout>
                <c:manualLayout>
                  <c:x val="0.0495375698432591"/>
                  <c:y val="-0.0582959947344043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500583026222268"/>
                  <c:y val="-0.0782741816451875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155057669350029"/>
                  <c:y val="0.109257939578815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17</c:v>
                </c:pt>
                <c:pt idx="1">
                  <c:v>9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4月份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0</c:v>
                </c:pt>
                <c:pt idx="1">
                  <c:v>3</c:v>
                </c:pt>
                <c:pt idx="2">
                  <c:v>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3月份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2</c:v>
                </c:pt>
                <c:pt idx="1">
                  <c:v>6</c:v>
                </c:pt>
                <c:pt idx="2">
                  <c:v>1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97884800"/>
        <c:axId val="97915264"/>
      </c:barChart>
      <c:catAx>
        <c:axId val="97884800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97915264"/>
        <c:crosses val="autoZero"/>
        <c:auto val="1"/>
        <c:lblAlgn val="ctr"/>
        <c:lblOffset val="100"/>
        <c:noMultiLvlLbl val="0"/>
      </c:catAx>
      <c:valAx>
        <c:axId val="97915264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97884800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16102564102565"/>
          <c:y val="0.110949859856742"/>
          <c:w val="0.367794871794875"/>
          <c:h val="0.759414512612896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4月份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dLbl>
              <c:idx val="0"/>
              <c:layout>
                <c:manualLayout>
                  <c:x val="0.115902661488581"/>
                  <c:y val="0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0634612415529512"/>
                  <c:y val="-0.0507705108532071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0562783567897977"/>
                  <c:y val="0.053380255366420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0</c:v>
                </c:pt>
                <c:pt idx="1">
                  <c:v>3</c:v>
                </c:pt>
                <c:pt idx="2">
                  <c:v>2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4月份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8</c:v>
                </c:pt>
                <c:pt idx="1">
                  <c:v>11</c:v>
                </c:pt>
                <c:pt idx="2">
                  <c:v>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3月份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4</c:v>
                </c:pt>
                <c:pt idx="1">
                  <c:v>4</c:v>
                </c:pt>
                <c:pt idx="2">
                  <c:v>3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52860416"/>
        <c:axId val="52861952"/>
      </c:barChart>
      <c:catAx>
        <c:axId val="52860416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2861952"/>
        <c:crosses val="autoZero"/>
        <c:auto val="1"/>
        <c:lblAlgn val="ctr"/>
        <c:lblOffset val="100"/>
        <c:noMultiLvlLbl val="0"/>
      </c:catAx>
      <c:valAx>
        <c:axId val="52861952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2860416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4月份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dLbl>
              <c:idx val="0"/>
              <c:layout>
                <c:manualLayout>
                  <c:x val="0.0495375698432591"/>
                  <c:y val="-0.0582959947344043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51393906471671"/>
                  <c:y val="-0.298612617179548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0839072918199382"/>
                  <c:y val="0.0778178442634564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8</c:v>
                </c:pt>
                <c:pt idx="1">
                  <c:v>11</c:v>
                </c:pt>
                <c:pt idx="2">
                  <c:v>1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4月份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32</c:v>
                </c:pt>
                <c:pt idx="1">
                  <c:v>27</c:v>
                </c:pt>
                <c:pt idx="2">
                  <c:v>9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3月份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15</c:v>
                </c:pt>
                <c:pt idx="1">
                  <c:v>15</c:v>
                </c:pt>
                <c:pt idx="2">
                  <c:v>8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81413632"/>
        <c:axId val="81415168"/>
      </c:barChart>
      <c:catAx>
        <c:axId val="81413632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81415168"/>
        <c:crosses val="autoZero"/>
        <c:auto val="1"/>
        <c:lblAlgn val="ctr"/>
        <c:lblOffset val="100"/>
        <c:noMultiLvlLbl val="0"/>
      </c:catAx>
      <c:valAx>
        <c:axId val="81415168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81413632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4月份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dLbl>
              <c:idx val="0"/>
              <c:layout>
                <c:manualLayout>
                  <c:x val="0.0475957495604312"/>
                  <c:y val="0.0338989953841977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511136386330923"/>
                  <c:y val="-0.0772986069049064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117952293408258"/>
                  <c:y val="0.0450366549008967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32</c:v>
                </c:pt>
                <c:pt idx="1">
                  <c:v>27</c:v>
                </c:pt>
                <c:pt idx="2">
                  <c:v>9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4月份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24</c:v>
                </c:pt>
                <c:pt idx="1">
                  <c:v>11</c:v>
                </c:pt>
                <c:pt idx="2">
                  <c:v>5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3月份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17</c:v>
                </c:pt>
                <c:pt idx="1">
                  <c:v>10</c:v>
                </c:pt>
                <c:pt idx="2">
                  <c:v>1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81757696"/>
        <c:axId val="81759232"/>
      </c:barChart>
      <c:catAx>
        <c:axId val="81757696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81759232"/>
        <c:crosses val="autoZero"/>
        <c:auto val="1"/>
        <c:lblAlgn val="ctr"/>
        <c:lblOffset val="100"/>
        <c:noMultiLvlLbl val="0"/>
      </c:catAx>
      <c:valAx>
        <c:axId val="81759232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81757696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4月份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dLbl>
              <c:idx val="0"/>
              <c:layout>
                <c:manualLayout>
                  <c:x val="0.0825472785811232"/>
                  <c:y val="0.0386618321658508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935897844230145"/>
                  <c:y val="-0.0481520631838828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0562783567897977"/>
                  <c:y val="0.0565307200377043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24</c:v>
                </c:pt>
                <c:pt idx="1">
                  <c:v>11</c:v>
                </c:pt>
                <c:pt idx="2">
                  <c:v>5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4月份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0</c:v>
                </c:pt>
                <c:pt idx="1">
                  <c:v>1</c:v>
                </c:pt>
                <c:pt idx="2">
                  <c:v>0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3月份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0</c:v>
                </c:pt>
                <c:pt idx="1">
                  <c:v>3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98280960"/>
        <c:axId val="98282496"/>
      </c:barChart>
      <c:catAx>
        <c:axId val="98280960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98282496"/>
        <c:crosses val="autoZero"/>
        <c:auto val="1"/>
        <c:lblAlgn val="ctr"/>
        <c:lblOffset val="100"/>
        <c:noMultiLvlLbl val="0"/>
      </c:catAx>
      <c:valAx>
        <c:axId val="98282496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98280960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0EE25C-8F6F-4DD4-B661-2A11F4144F5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18</Pages>
  <Words>741</Words>
  <Characters>4227</Characters>
  <Lines>35</Lines>
  <Paragraphs>9</Paragraphs>
  <TotalTime>74</TotalTime>
  <ScaleCrop>false</ScaleCrop>
  <LinksUpToDate>false</LinksUpToDate>
  <CharactersWithSpaces>4959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2019-04-02T00:51:00Z</dcterms:created>
  <dc:creator>微软中国</dc:creator>
  <cp:lastModifiedBy>熙雯 （贺莹）</cp:lastModifiedBy>
  <cp:lastPrinted>2020-01-07T07:16:00Z</cp:lastPrinted>
  <dcterms:modified xsi:type="dcterms:W3CDTF">2020-06-12T01:30:57Z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