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color w:val="FF0000"/>
          <w:w w:val="50"/>
        </w:rPr>
      </w:pPr>
      <w:r>
        <w:rPr>
          <w:color w:val="FF0000"/>
          <w:w w:val="50"/>
        </w:rPr>
        <w:pict>
          <v:shape id="_x0000_i1025" o:spt="136" type="#_x0000_t136" style="height:54pt;width:227.2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湖北省通信行业协会" style="font-family:宋体;font-size:28pt;v-text-align:center;"/>
            <w10:wrap type="none"/>
            <w10:anchorlock/>
          </v:shape>
        </w:pict>
      </w:r>
      <w:r>
        <w:rPr>
          <w:color w:val="FF0000"/>
          <w:w w:val="50"/>
        </w:rPr>
        <w:pict>
          <v:shape id="_x0000_i1026" o:spt="136" type="#_x0000_t136" style="height:50.25pt;width:129.7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电 信 用 户&#10;申诉受理中心" style="font-family:宋体;font-size:36pt;v-text-align:center;"/>
            <w10:wrap type="none"/>
            <w10:anchorlock/>
          </v:shape>
        </w:pict>
      </w:r>
      <w:r>
        <w:rPr>
          <w:rFonts w:eastAsia="Times New Roman"/>
          <w:color w:val="FF0000"/>
          <w:w w:val="50"/>
        </w:rPr>
        <w:pict>
          <v:shape id="_x0000_i1027" o:spt="136" type="#_x0000_t136" style="height:53.25pt;width:45.7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文件" style="font-family:宋体;font-size:28pt;v-text-align:center;"/>
            <w10:wrap type="none"/>
            <w10:anchorlock/>
          </v:shape>
        </w:pict>
      </w:r>
    </w:p>
    <w:p>
      <w:pPr>
        <w:tabs>
          <w:tab w:val="left" w:pos="6525"/>
        </w:tabs>
        <w:spacing w:line="300" w:lineRule="exact"/>
        <w:rPr>
          <w:color w:val="FF0000"/>
          <w:u w:val="single"/>
        </w:rPr>
      </w:pPr>
    </w:p>
    <w:p>
      <w:pPr>
        <w:tabs>
          <w:tab w:val="left" w:pos="6525"/>
        </w:tabs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鄂电申〔</w:t>
      </w:r>
      <w:r>
        <w:rPr>
          <w:rFonts w:ascii="仿宋_GB2312" w:hAnsi="仿宋_GB2312" w:eastAsia="仿宋_GB2312" w:cs="仿宋_GB2312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</w:rPr>
        <w:t>20〕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0"/>
          <w:szCs w:val="30"/>
        </w:rPr>
        <w:t>号</w:t>
      </w:r>
    </w:p>
    <w:p>
      <w:pPr>
        <w:spacing w:line="300" w:lineRule="exact"/>
        <w:rPr>
          <w:color w:val="FF0000"/>
          <w:u w:val="single"/>
        </w:rPr>
      </w:pPr>
    </w:p>
    <w:p>
      <w:pPr>
        <w:rPr>
          <w:color w:val="FF0000"/>
        </w:rPr>
      </w:pPr>
      <w:r>
        <w:rPr>
          <w:color w:val="FF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79375</wp:posOffset>
                </wp:positionH>
                <wp:positionV relativeFrom="paragraph">
                  <wp:posOffset>40640</wp:posOffset>
                </wp:positionV>
                <wp:extent cx="5495925" cy="38100"/>
                <wp:effectExtent l="0" t="4445" r="9525" b="14605"/>
                <wp:wrapNone/>
                <wp:docPr id="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979805" y="2801620"/>
                          <a:ext cx="5495925" cy="381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flip:y;margin-left:6.25pt;margin-top:3.2pt;height:3pt;width:432.75pt;z-index:251658240;mso-width-relative:page;mso-height-relative:page;" filled="f" stroked="t" coordsize="21600,21600" o:gfxdata="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vBw6fWAAAABwEAAA8AAAAAAAAA&#10;AQAgAAAAIgAAAGRycy9kb3ducmV2LnhtbFBLAQIUABQAAAAIAIdO4kDfW/Vm2gEAAHMDAAAOAAAA&#10;AAAAAAEAIAAAACUBAABkcnMvZTJvRG9jLnhtbFBLBQYAAAAABgAGAFkBAABxBQAAAAA=&#10;">
                <v:fill on="f" focussize="0,0"/>
                <v:stroke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</w:t>
      </w:r>
      <w:r>
        <w:rPr>
          <w:rFonts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20年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11</w:t>
      </w:r>
      <w:r>
        <w:rPr>
          <w:rFonts w:hint="eastAsia" w:ascii="方正小标宋简体" w:eastAsia="方正小标宋简体"/>
          <w:sz w:val="44"/>
          <w:szCs w:val="44"/>
        </w:rPr>
        <w:t>月份湖北全省电信</w:t>
      </w: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用户申诉受理情况的通报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一、电信用户申诉受理总体情况</w:t>
      </w:r>
    </w:p>
    <w:p>
      <w:pPr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2020年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 w:cs="仿宋_GB2312"/>
          <w:sz w:val="32"/>
          <w:szCs w:val="32"/>
        </w:rPr>
        <w:t>月份湖北省电信用户申诉受理中心共接到电信用户提交材料 （以下简称申告来量）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397</w:t>
      </w:r>
      <w:r>
        <w:rPr>
          <w:rFonts w:hint="eastAsia" w:ascii="仿宋_GB2312" w:eastAsia="仿宋_GB2312" w:cs="仿宋_GB2312"/>
          <w:sz w:val="32"/>
          <w:szCs w:val="32"/>
        </w:rPr>
        <w:t>人次，与上月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224</w:t>
      </w:r>
      <w:r>
        <w:rPr>
          <w:rFonts w:hint="eastAsia" w:ascii="仿宋_GB2312" w:eastAsia="仿宋_GB2312" w:cs="仿宋_GB2312"/>
          <w:sz w:val="32"/>
          <w:szCs w:val="32"/>
        </w:rPr>
        <w:t>人次相比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上升77.23</w:t>
      </w:r>
      <w:r>
        <w:rPr>
          <w:rFonts w:hint="eastAsia" w:ascii="仿宋_GB2312" w:eastAsia="仿宋_GB2312" w:cs="仿宋_GB2312"/>
          <w:sz w:val="32"/>
          <w:szCs w:val="32"/>
        </w:rPr>
        <w:t>个百分点，与去年同期的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145</w:t>
      </w:r>
      <w:r>
        <w:rPr>
          <w:rFonts w:hint="eastAsia" w:ascii="仿宋_GB2312" w:eastAsia="仿宋_GB2312" w:cs="仿宋_GB2312"/>
          <w:sz w:val="32"/>
          <w:szCs w:val="32"/>
        </w:rPr>
        <w:t>人次相比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上升173.79</w:t>
      </w:r>
      <w:r>
        <w:rPr>
          <w:rFonts w:hint="eastAsia" w:ascii="仿宋_GB2312" w:eastAsia="仿宋_GB2312" w:cs="仿宋_GB2312"/>
          <w:sz w:val="32"/>
          <w:szCs w:val="32"/>
        </w:rPr>
        <w:t>个百分点。其中符合规定申诉条件的用户申诉（以下简称“有效申诉”含省内携号转网）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 w:cs="仿宋_GB2312"/>
          <w:sz w:val="32"/>
          <w:szCs w:val="32"/>
        </w:rPr>
        <w:t>人次，环比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上升26.32</w:t>
      </w:r>
      <w:r>
        <w:rPr>
          <w:rFonts w:hint="eastAsia" w:ascii="仿宋_GB2312" w:eastAsia="仿宋_GB2312" w:cs="仿宋_GB2312"/>
          <w:sz w:val="32"/>
          <w:szCs w:val="32"/>
        </w:rPr>
        <w:t>个百分点。</w:t>
      </w:r>
    </w:p>
    <w:p>
      <w:pPr>
        <w:pStyle w:val="8"/>
        <w:spacing w:line="240" w:lineRule="atLeast"/>
        <w:ind w:firstLine="640" w:firstLineChars="200"/>
        <w:rPr>
          <w:rFonts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从总申诉来量分类统计表可看出，服务类占比最大，占申诉总量的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48.87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个百分点，其次为网络类和收费类，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分别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占申诉总量的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15.37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个百分点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和13.85个百分点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，资费类和营销类分别占申诉总量的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10.58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8.56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个百分点，安全类占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2.77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个百分点。</w:t>
      </w:r>
    </w:p>
    <w:p>
      <w:pPr>
        <w:pStyle w:val="8"/>
        <w:spacing w:line="240" w:lineRule="atLeast"/>
        <w:ind w:firstLine="640" w:firstLineChars="200"/>
        <w:rPr>
          <w:rFonts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从下图表中可以看出，本月各项环比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均呈上升趋势外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。</w:t>
      </w:r>
    </w:p>
    <w:p>
      <w:pPr>
        <w:pStyle w:val="8"/>
        <w:spacing w:line="240" w:lineRule="atLeast"/>
        <w:ind w:firstLine="321"/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总申诉来量分类统计表</w:t>
      </w:r>
    </w:p>
    <w:tbl>
      <w:tblPr>
        <w:tblStyle w:val="9"/>
        <w:tblW w:w="780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470"/>
        <w:gridCol w:w="1470"/>
        <w:gridCol w:w="1470"/>
        <w:gridCol w:w="19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10.58%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90.91%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营销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8.56%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161.54%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15.37%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38.64%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48.87%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73.21%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收费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13.85%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96.43%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安全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2.77%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120.00%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77.23%</w:t>
            </w:r>
          </w:p>
        </w:tc>
      </w:tr>
    </w:tbl>
    <w:p>
      <w:pPr>
        <w:rPr>
          <w:rFonts w:ascii="宋体" w:hAnsi="宋体" w:cs="宋体"/>
          <w:color w:val="FF0000"/>
          <w:kern w:val="0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总申诉来量分类统计对比图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</w:rPr>
      </w:pPr>
      <w:r>
        <w:rPr>
          <w:color w:val="FF0000"/>
        </w:rPr>
        <w:drawing>
          <wp:inline distT="0" distB="0" distL="0" distR="0">
            <wp:extent cx="4125595" cy="2029460"/>
            <wp:effectExtent l="5080" t="4445" r="22225" b="23495"/>
            <wp:docPr id="1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rPr>
          <w:rFonts w:ascii="宋体" w:hAnsi="宋体" w:cs="宋体"/>
          <w:color w:val="FF0000"/>
          <w:kern w:val="0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申诉来量分类统计占比图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</w:rPr>
      </w:pPr>
      <w:r>
        <w:rPr>
          <w:color w:val="FF0000"/>
        </w:rPr>
        <w:drawing>
          <wp:inline distT="0" distB="0" distL="0" distR="0">
            <wp:extent cx="4371975" cy="2076450"/>
            <wp:effectExtent l="4445" t="5080" r="5080" b="1397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8"/>
        <w:spacing w:line="360" w:lineRule="auto"/>
        <w:ind w:firstLine="640" w:firstLineChars="200"/>
        <w:rPr>
          <w:rFonts w:ascii="黑体" w:eastAsia="黑体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二、各电信运营企业被申诉</w:t>
      </w:r>
      <w:r>
        <w:rPr>
          <w:rFonts w:hint="eastAsia" w:ascii="黑体" w:eastAsia="黑体" w:cs="仿宋_GB2312"/>
          <w:sz w:val="32"/>
          <w:szCs w:val="32"/>
        </w:rPr>
        <w:t>来</w:t>
      </w:r>
      <w:r>
        <w:rPr>
          <w:rFonts w:hint="eastAsia" w:ascii="黑体" w:eastAsia="黑体" w:cs="仿宋_GB2312"/>
          <w:sz w:val="32"/>
          <w:szCs w:val="32"/>
          <w:lang w:val="zh-CN"/>
        </w:rPr>
        <w:t>量统计分析</w:t>
      </w:r>
    </w:p>
    <w:p>
      <w:pPr>
        <w:pStyle w:val="8"/>
        <w:spacing w:line="240" w:lineRule="atLeast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如下图表所示，本月申诉</w:t>
      </w:r>
      <w:r>
        <w:rPr>
          <w:rFonts w:hint="eastAsia" w:ascii="仿宋_GB2312" w:eastAsia="仿宋_GB2312" w:cs="仿宋_GB2312"/>
          <w:sz w:val="32"/>
          <w:szCs w:val="32"/>
        </w:rPr>
        <w:t>来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量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环比电信、移动、联通公司均呈上升趋势，联通公司上升幅度最大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。</w:t>
      </w:r>
    </w:p>
    <w:p>
      <w:pPr>
        <w:pStyle w:val="8"/>
        <w:spacing w:line="240" w:lineRule="atLeast"/>
        <w:ind w:firstLine="0" w:firstLineChars="0"/>
        <w:jc w:val="center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各电信运营企业申诉来量对比统计表</w:t>
      </w:r>
    </w:p>
    <w:tbl>
      <w:tblPr>
        <w:tblStyle w:val="9"/>
        <w:tblW w:w="757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470"/>
        <w:gridCol w:w="1470"/>
        <w:gridCol w:w="1470"/>
        <w:gridCol w:w="16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6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40.30%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53.85%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33.50%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46.15%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26.20%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258.62%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77.23%</w:t>
            </w:r>
          </w:p>
        </w:tc>
      </w:tr>
    </w:tbl>
    <w:p>
      <w:pPr>
        <w:jc w:val="center"/>
        <w:rPr>
          <w:rFonts w:ascii="宋体" w:hAnsi="宋体" w:cs="宋体"/>
          <w:color w:val="FF0000"/>
          <w:kern w:val="0"/>
          <w:sz w:val="28"/>
          <w:szCs w:val="28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各电信运营企业申诉</w:t>
      </w:r>
      <w:r>
        <w:rPr>
          <w:rFonts w:hint="eastAsia" w:ascii="楷体_GB2312" w:eastAsia="楷体_GB2312"/>
          <w:b/>
          <w:bCs/>
          <w:sz w:val="32"/>
        </w:rPr>
        <w:t>来</w:t>
      </w:r>
      <w:r>
        <w:rPr>
          <w:rFonts w:hint="eastAsia" w:ascii="楷体_GB2312" w:eastAsia="楷体_GB2312"/>
          <w:b/>
          <w:bCs/>
          <w:sz w:val="32"/>
          <w:lang w:val="zh-CN"/>
        </w:rPr>
        <w:t>量对比图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4110990" cy="1960880"/>
            <wp:effectExtent l="4445" t="4445" r="18415" b="1587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color w:val="FF0000"/>
          <w:kern w:val="0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各电信运营企业申诉</w:t>
      </w:r>
      <w:r>
        <w:rPr>
          <w:rFonts w:hint="eastAsia" w:ascii="楷体_GB2312" w:eastAsia="楷体_GB2312"/>
          <w:b/>
          <w:bCs/>
          <w:sz w:val="32"/>
        </w:rPr>
        <w:t>来</w:t>
      </w:r>
      <w:r>
        <w:rPr>
          <w:rFonts w:hint="eastAsia" w:ascii="楷体_GB2312" w:eastAsia="楷体_GB2312"/>
          <w:b/>
          <w:bCs/>
          <w:sz w:val="32"/>
          <w:lang w:val="zh-CN"/>
        </w:rPr>
        <w:t>量占比图</w:t>
      </w:r>
    </w:p>
    <w:p>
      <w:pPr>
        <w:spacing w:line="360" w:lineRule="auto"/>
        <w:jc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4229100" cy="2090420"/>
            <wp:effectExtent l="19050" t="0" r="19050" b="5080"/>
            <wp:docPr id="4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8"/>
        <w:spacing w:line="360" w:lineRule="auto"/>
        <w:ind w:firstLine="640" w:firstLineChars="200"/>
        <w:rPr>
          <w:rFonts w:ascii="黑体" w:eastAsia="黑体" w:cs="仿宋_GB2312"/>
          <w:color w:val="C00000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</w:rPr>
        <w:t>三、</w:t>
      </w:r>
      <w:r>
        <w:rPr>
          <w:rFonts w:hint="eastAsia" w:ascii="黑体" w:eastAsia="黑体" w:cs="仿宋_GB2312"/>
          <w:sz w:val="32"/>
          <w:szCs w:val="32"/>
          <w:lang w:val="zh-CN"/>
        </w:rPr>
        <w:t>各电信运营企业有效申诉量统计分析</w:t>
      </w:r>
    </w:p>
    <w:p>
      <w:pPr>
        <w:pStyle w:val="8"/>
        <w:spacing w:line="360" w:lineRule="auto"/>
        <w:ind w:firstLine="640" w:firstLineChars="200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如下表所示，本月有效申诉量共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 w:cs="仿宋_GB2312"/>
          <w:sz w:val="32"/>
          <w:szCs w:val="32"/>
        </w:rPr>
        <w:t>件，环比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上升26.32</w:t>
      </w:r>
      <w:r>
        <w:rPr>
          <w:rFonts w:hint="eastAsia" w:ascii="仿宋_GB2312" w:eastAsia="仿宋_GB2312" w:cs="仿宋_GB2312"/>
          <w:sz w:val="32"/>
          <w:szCs w:val="32"/>
        </w:rPr>
        <w:t>个百分点，其中电信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仿宋_GB2312"/>
          <w:sz w:val="32"/>
          <w:szCs w:val="32"/>
        </w:rPr>
        <w:t>件，移动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 w:cs="仿宋_GB2312"/>
          <w:sz w:val="32"/>
          <w:szCs w:val="32"/>
        </w:rPr>
        <w:t>件，联通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件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。</w:t>
      </w:r>
    </w:p>
    <w:p>
      <w:pPr>
        <w:pStyle w:val="8"/>
        <w:spacing w:line="240" w:lineRule="atLeast"/>
        <w:ind w:firstLine="1606" w:firstLineChars="5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各电信运营企业有效申诉量对比统计表</w:t>
      </w:r>
    </w:p>
    <w:tbl>
      <w:tblPr>
        <w:tblStyle w:val="9"/>
        <w:tblW w:w="722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7"/>
        <w:gridCol w:w="1470"/>
        <w:gridCol w:w="1470"/>
        <w:gridCol w:w="1470"/>
        <w:gridCol w:w="16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6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1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50.00%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1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45.83%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22.22%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1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4.17%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-50.00%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1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26.32%</w:t>
            </w:r>
          </w:p>
        </w:tc>
      </w:tr>
    </w:tbl>
    <w:p>
      <w:pPr>
        <w:spacing w:line="360" w:lineRule="auto"/>
        <w:rPr>
          <w:color w:val="FF0000"/>
          <w:lang w:val="zh-CN"/>
        </w:rPr>
      </w:pPr>
    </w:p>
    <w:p>
      <w:pPr>
        <w:pStyle w:val="8"/>
        <w:spacing w:line="360" w:lineRule="auto"/>
        <w:ind w:firstLine="640" w:firstLineChars="200"/>
        <w:rPr>
          <w:rFonts w:ascii="黑体" w:eastAsia="黑体"/>
          <w:sz w:val="32"/>
          <w:szCs w:val="32"/>
          <w:lang w:val="zh-CN"/>
        </w:rPr>
      </w:pPr>
      <w:r>
        <w:rPr>
          <w:rFonts w:hint="eastAsia" w:ascii="黑体" w:eastAsia="黑体"/>
          <w:sz w:val="32"/>
          <w:szCs w:val="32"/>
          <w:lang w:val="zh-CN"/>
        </w:rPr>
        <w:t>四、各电信运营企业申诉</w:t>
      </w:r>
      <w:r>
        <w:rPr>
          <w:rFonts w:hint="eastAsia" w:ascii="黑体" w:eastAsia="黑体"/>
          <w:sz w:val="32"/>
          <w:szCs w:val="32"/>
        </w:rPr>
        <w:t>来量</w:t>
      </w:r>
      <w:r>
        <w:rPr>
          <w:rFonts w:hint="eastAsia" w:ascii="黑体" w:eastAsia="黑体"/>
          <w:sz w:val="32"/>
          <w:szCs w:val="32"/>
          <w:lang w:val="zh-CN"/>
        </w:rPr>
        <w:t>分类统计分析</w:t>
      </w: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（一）资费类</w:t>
      </w:r>
    </w:p>
    <w:p>
      <w:pPr>
        <w:pStyle w:val="8"/>
        <w:spacing w:line="240" w:lineRule="atLeast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本月关于资费类问题的申诉</w:t>
      </w:r>
      <w:r>
        <w:rPr>
          <w:rFonts w:hint="eastAsia" w:ascii="仿宋_GB2312" w:eastAsia="仿宋_GB2312" w:cs="仿宋_GB2312"/>
          <w:sz w:val="32"/>
          <w:szCs w:val="32"/>
        </w:rPr>
        <w:t>来量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人次，占全月用户申诉总</w:t>
      </w:r>
      <w:r>
        <w:rPr>
          <w:rFonts w:hint="eastAsia" w:ascii="仿宋_GB2312" w:eastAsia="仿宋_GB2312" w:cs="仿宋_GB2312"/>
          <w:sz w:val="32"/>
          <w:szCs w:val="32"/>
        </w:rPr>
        <w:t>来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10.58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个百分点，与上月相比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上升90.91</w:t>
      </w:r>
      <w:r>
        <w:rPr>
          <w:rFonts w:hint="eastAsia" w:ascii="仿宋_GB2312" w:eastAsia="仿宋_GB2312" w:cs="仿宋_GB2312"/>
          <w:sz w:val="32"/>
          <w:szCs w:val="32"/>
        </w:rPr>
        <w:t>个百分点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，其中：申诉电信公司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pStyle w:val="8"/>
        <w:spacing w:line="360" w:lineRule="auto"/>
        <w:ind w:firstLine="0" w:firstLineChars="0"/>
        <w:jc w:val="center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资费类来量统计表</w:t>
      </w:r>
    </w:p>
    <w:tbl>
      <w:tblPr>
        <w:tblStyle w:val="9"/>
        <w:tblW w:w="748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55"/>
        <w:gridCol w:w="1455"/>
        <w:gridCol w:w="1455"/>
        <w:gridCol w:w="16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28.57%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-7.69%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59.52%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316.67%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11.90%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66.67%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90.91%</w:t>
            </w:r>
          </w:p>
        </w:tc>
      </w:tr>
    </w:tbl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资费类</w:t>
      </w:r>
      <w:r>
        <w:rPr>
          <w:rFonts w:hint="eastAsia" w:ascii="楷体_GB2312" w:eastAsia="楷体_GB2312"/>
          <w:b/>
          <w:bCs/>
          <w:sz w:val="32"/>
        </w:rPr>
        <w:t>来量</w:t>
      </w:r>
      <w:r>
        <w:rPr>
          <w:rFonts w:hint="eastAsia" w:ascii="楷体_GB2312" w:eastAsia="楷体_GB2312"/>
          <w:b/>
          <w:bCs/>
          <w:sz w:val="32"/>
          <w:lang w:val="zh-CN"/>
        </w:rPr>
        <w:t>统计对比图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3953510" cy="2089150"/>
            <wp:effectExtent l="4445" t="4445" r="17145" b="14605"/>
            <wp:docPr id="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</w:rPr>
        <w:t>本月</w:t>
      </w:r>
      <w:r>
        <w:rPr>
          <w:rFonts w:hint="eastAsia" w:ascii="楷体_GB2312" w:eastAsia="楷体_GB2312"/>
          <w:b/>
          <w:bCs/>
          <w:sz w:val="32"/>
          <w:lang w:val="zh-CN"/>
        </w:rPr>
        <w:t>资费类</w:t>
      </w:r>
      <w:r>
        <w:rPr>
          <w:rFonts w:hint="eastAsia" w:ascii="楷体_GB2312" w:eastAsia="楷体_GB2312"/>
          <w:b/>
          <w:bCs/>
          <w:sz w:val="32"/>
        </w:rPr>
        <w:t>来量</w:t>
      </w:r>
      <w:r>
        <w:rPr>
          <w:rFonts w:hint="eastAsia" w:ascii="楷体_GB2312" w:eastAsia="楷体_GB2312"/>
          <w:b/>
          <w:bCs/>
          <w:sz w:val="32"/>
          <w:lang w:val="zh-CN"/>
        </w:rPr>
        <w:t>占比图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3953510" cy="2117090"/>
            <wp:effectExtent l="4445" t="4445" r="23495" b="12065"/>
            <wp:docPr id="7" name="图表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</w:p>
    <w:p>
      <w:pPr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本月资费类来量分项统计表</w:t>
      </w:r>
    </w:p>
    <w:tbl>
      <w:tblPr>
        <w:tblStyle w:val="9"/>
        <w:tblW w:w="5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资费价格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资费套餐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资费其他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</w:tr>
    </w:tbl>
    <w:p>
      <w:pPr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（二）营销类</w:t>
      </w:r>
    </w:p>
    <w:p>
      <w:pPr>
        <w:pStyle w:val="8"/>
        <w:spacing w:line="240" w:lineRule="atLeast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本月关于营销类问题的申诉</w:t>
      </w:r>
      <w:r>
        <w:rPr>
          <w:rFonts w:hint="eastAsia" w:ascii="仿宋_GB2312" w:eastAsia="仿宋_GB2312" w:cs="仿宋_GB2312"/>
          <w:sz w:val="32"/>
          <w:szCs w:val="32"/>
        </w:rPr>
        <w:t>来量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人次，占全月用户</w:t>
      </w:r>
      <w:r>
        <w:rPr>
          <w:rFonts w:hint="eastAsia" w:ascii="仿宋_GB2312" w:eastAsia="仿宋_GB2312" w:cs="仿宋_GB2312"/>
          <w:sz w:val="32"/>
          <w:szCs w:val="32"/>
        </w:rPr>
        <w:t>总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申诉</w:t>
      </w:r>
      <w:r>
        <w:rPr>
          <w:rFonts w:hint="eastAsia" w:ascii="仿宋_GB2312" w:eastAsia="仿宋_GB2312" w:cs="仿宋_GB2312"/>
          <w:sz w:val="32"/>
          <w:szCs w:val="32"/>
        </w:rPr>
        <w:t>来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8.56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个百分点，其中：申诉电信公司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营销类来量统计表</w:t>
      </w:r>
    </w:p>
    <w:tbl>
      <w:tblPr>
        <w:tblStyle w:val="9"/>
        <w:tblW w:w="727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55"/>
        <w:gridCol w:w="1455"/>
        <w:gridCol w:w="1455"/>
        <w:gridCol w:w="14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35.29%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200.00%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41.18%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55.56%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23.53%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161.54%</w:t>
            </w:r>
          </w:p>
        </w:tc>
      </w:tr>
    </w:tbl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营销类来量统计对比图</w:t>
      </w:r>
    </w:p>
    <w:p>
      <w:pPr>
        <w:jc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4086225" cy="1885315"/>
            <wp:effectExtent l="4445" t="4445" r="5080" b="15240"/>
            <wp:docPr id="8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本月营销类来量占比图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</w:rPr>
      </w:pPr>
      <w:r>
        <w:rPr>
          <w:color w:val="FF0000"/>
        </w:rPr>
        <w:drawing>
          <wp:inline distT="0" distB="0" distL="0" distR="0">
            <wp:extent cx="4210050" cy="2038985"/>
            <wp:effectExtent l="4445" t="5080" r="14605" b="13335"/>
            <wp:docPr id="9" name="图表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8"/>
        <w:spacing w:line="360" w:lineRule="auto"/>
        <w:ind w:firstLine="0" w:firstLineChars="0"/>
        <w:jc w:val="center"/>
        <w:rPr>
          <w:rFonts w:hint="eastAsia" w:ascii="楷体_GB2312" w:hAnsi="宋体" w:eastAsia="楷体_GB2312" w:cs="楷体_GB2312"/>
          <w:b/>
          <w:sz w:val="32"/>
          <w:szCs w:val="32"/>
        </w:rPr>
      </w:pPr>
    </w:p>
    <w:p>
      <w:pPr>
        <w:pStyle w:val="8"/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本月营销类分项统计表</w:t>
      </w:r>
    </w:p>
    <w:tbl>
      <w:tblPr>
        <w:tblStyle w:val="9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虚假宣传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营销扰民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不正当竞争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协议争议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强制服务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营销其他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</w:tr>
    </w:tbl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（三）网络类</w:t>
      </w:r>
    </w:p>
    <w:p>
      <w:pPr>
        <w:spacing w:line="360" w:lineRule="auto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本月关于网络类问题的申诉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来量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共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61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人次，占全月总申诉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量的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15.37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个百分点，与上月相比上升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38.64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个百分点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，其中：申诉电信公司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人次，申诉移动公司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33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人次，申诉联通公司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人次。</w:t>
      </w:r>
    </w:p>
    <w:p>
      <w:pPr>
        <w:rPr>
          <w:rFonts w:ascii="宋体" w:hAnsi="宋体" w:cs="宋体"/>
          <w:kern w:val="0"/>
          <w:sz w:val="15"/>
          <w:szCs w:val="15"/>
        </w:rPr>
      </w:pPr>
      <w:r>
        <w:rPr>
          <w:rFonts w:hint="eastAsia" w:ascii="宋体" w:hAnsi="宋体" w:cs="宋体"/>
          <w:kern w:val="0"/>
        </w:rPr>
        <w:t xml:space="preserve">   </w:t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网络类来量统计表</w:t>
      </w:r>
    </w:p>
    <w:tbl>
      <w:tblPr>
        <w:tblStyle w:val="9"/>
        <w:tblW w:w="74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55"/>
        <w:gridCol w:w="1455"/>
        <w:gridCol w:w="1455"/>
        <w:gridCol w:w="15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19.67%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54.10%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26.92%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26.23%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38.64%</w:t>
            </w:r>
          </w:p>
        </w:tc>
      </w:tr>
    </w:tbl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</w:rPr>
      </w:pPr>
      <w:r>
        <w:rPr>
          <w:rFonts w:hint="eastAsia" w:ascii="楷体_GB2312" w:eastAsia="楷体_GB2312"/>
          <w:b/>
          <w:bCs/>
          <w:sz w:val="32"/>
        </w:rPr>
        <w:t>网络类来量统计对比图</w:t>
      </w:r>
      <w:r>
        <w:rPr>
          <w:color w:val="FF0000"/>
        </w:rPr>
        <w:drawing>
          <wp:inline distT="0" distB="0" distL="0" distR="0">
            <wp:extent cx="4050665" cy="1780540"/>
            <wp:effectExtent l="4445" t="4445" r="21590" b="5715"/>
            <wp:docPr id="10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本月网络类来量占比图</w:t>
      </w:r>
    </w:p>
    <w:p>
      <w:pPr>
        <w:spacing w:line="360" w:lineRule="auto"/>
        <w:jc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3792220" cy="1915160"/>
            <wp:effectExtent l="4445" t="4445" r="13335" b="23495"/>
            <wp:docPr id="11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本月网络类来量分项统计表</w:t>
      </w:r>
    </w:p>
    <w:tbl>
      <w:tblPr>
        <w:tblStyle w:val="9"/>
        <w:tblW w:w="8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110"/>
        <w:gridCol w:w="108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网络覆盖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通信不畅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上网不畅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网络故障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网间故障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网络其他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</w:tr>
    </w:tbl>
    <w:p>
      <w:pPr>
        <w:spacing w:line="360" w:lineRule="auto"/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（四）服务类</w:t>
      </w:r>
    </w:p>
    <w:p>
      <w:pPr>
        <w:spacing w:line="360" w:lineRule="auto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本月关于服务类问题的申诉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来量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共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194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人次，占全月总申诉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量的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48.87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个百分点，与上月相比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上升73.21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个百分点，其中：申诉电信公司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88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人次，申诉移动公司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39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人次，申诉联通公司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67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人次。</w:t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服务类来量统计表</w:t>
      </w:r>
    </w:p>
    <w:tbl>
      <w:tblPr>
        <w:tblStyle w:val="9"/>
        <w:tblW w:w="74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55"/>
        <w:gridCol w:w="1455"/>
        <w:gridCol w:w="1455"/>
        <w:gridCol w:w="16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45.36%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35.38%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20.10%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5.41%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34.54%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570.00%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73.21%</w:t>
            </w:r>
          </w:p>
        </w:tc>
      </w:tr>
    </w:tbl>
    <w:p>
      <w:pPr>
        <w:spacing w:line="360" w:lineRule="auto"/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服务类</w:t>
      </w:r>
      <w:r>
        <w:rPr>
          <w:rFonts w:hint="eastAsia" w:ascii="楷体_GB2312" w:eastAsia="楷体_GB2312"/>
          <w:b/>
          <w:bCs/>
          <w:sz w:val="32"/>
        </w:rPr>
        <w:t>来量</w:t>
      </w:r>
      <w:r>
        <w:rPr>
          <w:rFonts w:hint="eastAsia" w:ascii="楷体_GB2312" w:eastAsia="楷体_GB2312"/>
          <w:b/>
          <w:bCs/>
          <w:sz w:val="32"/>
          <w:lang w:val="zh-CN"/>
        </w:rPr>
        <w:t>统计对比图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4000500" cy="2019935"/>
            <wp:effectExtent l="4445" t="5080" r="14605" b="13335"/>
            <wp:docPr id="12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</w:rPr>
        <w:t>本月</w:t>
      </w:r>
      <w:r>
        <w:rPr>
          <w:rFonts w:hint="eastAsia" w:ascii="楷体_GB2312" w:eastAsia="楷体_GB2312"/>
          <w:b/>
          <w:bCs/>
          <w:sz w:val="32"/>
          <w:lang w:val="zh-CN"/>
        </w:rPr>
        <w:t>服务类</w:t>
      </w:r>
      <w:r>
        <w:rPr>
          <w:rFonts w:hint="eastAsia" w:ascii="楷体_GB2312" w:eastAsia="楷体_GB2312"/>
          <w:b/>
          <w:bCs/>
          <w:sz w:val="32"/>
        </w:rPr>
        <w:t>来量</w:t>
      </w:r>
      <w:r>
        <w:rPr>
          <w:rFonts w:hint="eastAsia" w:ascii="楷体_GB2312" w:eastAsia="楷体_GB2312"/>
          <w:b/>
          <w:bCs/>
          <w:sz w:val="32"/>
          <w:lang w:val="zh-CN"/>
        </w:rPr>
        <w:t>占比图</w:t>
      </w:r>
    </w:p>
    <w:p>
      <w:pPr>
        <w:widowControl/>
        <w:jc w:val="center"/>
        <w:textAlignment w:val="bottom"/>
        <w:rPr>
          <w:color w:val="FF0000"/>
        </w:rPr>
      </w:pPr>
    </w:p>
    <w:p>
      <w:pPr>
        <w:widowControl/>
        <w:jc w:val="center"/>
        <w:textAlignment w:val="bottom"/>
        <w:rPr>
          <w:color w:val="FF0000"/>
        </w:rPr>
      </w:pPr>
      <w:r>
        <w:rPr>
          <w:color w:val="FF0000"/>
        </w:rPr>
        <w:drawing>
          <wp:inline distT="0" distB="0" distL="0" distR="0">
            <wp:extent cx="4105910" cy="1981200"/>
            <wp:effectExtent l="19050" t="0" r="27940" b="0"/>
            <wp:docPr id="13" name="图表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>
      <w:pPr>
        <w:widowControl/>
        <w:jc w:val="center"/>
        <w:textAlignment w:val="bottom"/>
        <w:rPr>
          <w:color w:val="FF0000"/>
          <w:lang w:val="zh-CN"/>
        </w:rPr>
      </w:pPr>
    </w:p>
    <w:p>
      <w:pPr>
        <w:pStyle w:val="8"/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本月服务类来量分项统计表</w:t>
      </w:r>
    </w:p>
    <w:tbl>
      <w:tblPr>
        <w:tblStyle w:val="9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1080"/>
        <w:gridCol w:w="1080"/>
        <w:gridCol w:w="1080"/>
        <w:gridCol w:w="1110"/>
        <w:gridCol w:w="1080"/>
        <w:gridCol w:w="1080"/>
        <w:gridCol w:w="1080"/>
        <w:gridCol w:w="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服务时限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服务退停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服务违约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服务态度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业务办理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携号转网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服务其他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</w:tr>
    </w:tbl>
    <w:p>
      <w:pPr>
        <w:pStyle w:val="8"/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color w:val="FF0000"/>
          <w:sz w:val="32"/>
          <w:szCs w:val="32"/>
          <w:lang w:val="zh-CN"/>
        </w:rPr>
      </w:pPr>
    </w:p>
    <w:p>
      <w:pPr>
        <w:pStyle w:val="8"/>
        <w:spacing w:line="360" w:lineRule="auto"/>
        <w:ind w:firstLine="418" w:firstLineChars="130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（五）收费类</w:t>
      </w:r>
    </w:p>
    <w:p>
      <w:pPr>
        <w:spacing w:line="360" w:lineRule="auto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本月关于收费类问题的申诉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来量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共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55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人次，占全月总申诉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量的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13.85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个百分点，与上月相比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上升96.43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个百分点，其中：申诉电信公司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人次，申诉移动公司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人次，申诉联通公司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人次。</w:t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收费类来量统计表</w:t>
      </w:r>
    </w:p>
    <w:tbl>
      <w:tblPr>
        <w:tblStyle w:val="9"/>
        <w:tblW w:w="5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089"/>
        <w:gridCol w:w="1089"/>
        <w:gridCol w:w="1089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5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54.55%</w:t>
            </w:r>
          </w:p>
        </w:tc>
        <w:tc>
          <w:tcPr>
            <w:tcW w:w="15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34.55%</w:t>
            </w:r>
          </w:p>
        </w:tc>
        <w:tc>
          <w:tcPr>
            <w:tcW w:w="15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58.33%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10.91%</w:t>
            </w:r>
          </w:p>
        </w:tc>
        <w:tc>
          <w:tcPr>
            <w:tcW w:w="15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96.43%</w:t>
            </w:r>
          </w:p>
        </w:tc>
      </w:tr>
    </w:tbl>
    <w:p>
      <w:pPr>
        <w:spacing w:line="360" w:lineRule="auto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  <w:lang w:val="zh-CN"/>
        </w:rPr>
      </w:pPr>
    </w:p>
    <w:p>
      <w:pPr>
        <w:spacing w:line="360" w:lineRule="auto"/>
        <w:jc w:val="center"/>
        <w:rPr>
          <w:rFonts w:ascii="宋体" w:hAnsi="宋体" w:cs="宋体"/>
          <w:kern w:val="0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收费类</w:t>
      </w:r>
      <w:r>
        <w:rPr>
          <w:rFonts w:hint="eastAsia" w:ascii="楷体_GB2312" w:eastAsia="楷体_GB2312"/>
          <w:b/>
          <w:bCs/>
          <w:sz w:val="32"/>
        </w:rPr>
        <w:t>来量</w:t>
      </w:r>
      <w:r>
        <w:rPr>
          <w:rFonts w:hint="eastAsia" w:ascii="楷体_GB2312" w:eastAsia="楷体_GB2312"/>
          <w:b/>
          <w:bCs/>
          <w:sz w:val="32"/>
          <w:lang w:val="zh-CN"/>
        </w:rPr>
        <w:t>统计对比图</w:t>
      </w:r>
    </w:p>
    <w:p>
      <w:pPr>
        <w:jc w:val="center"/>
        <w:rPr>
          <w:rFonts w:ascii="宋体" w:hAnsi="宋体" w:cs="宋体"/>
          <w:color w:val="FF0000"/>
          <w:kern w:val="0"/>
        </w:rPr>
      </w:pPr>
      <w:r>
        <w:rPr>
          <w:color w:val="FF0000"/>
        </w:rPr>
        <w:drawing>
          <wp:inline distT="0" distB="0" distL="0" distR="0">
            <wp:extent cx="4000500" cy="1856740"/>
            <wp:effectExtent l="4445" t="5080" r="14605" b="5080"/>
            <wp:docPr id="14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</w:rPr>
        <w:t>本月</w:t>
      </w:r>
      <w:r>
        <w:rPr>
          <w:rFonts w:hint="eastAsia" w:ascii="楷体_GB2312" w:eastAsia="楷体_GB2312"/>
          <w:b/>
          <w:bCs/>
          <w:sz w:val="32"/>
          <w:lang w:val="zh-CN"/>
        </w:rPr>
        <w:t>收费类</w:t>
      </w:r>
      <w:r>
        <w:rPr>
          <w:rFonts w:hint="eastAsia" w:ascii="楷体_GB2312" w:eastAsia="楷体_GB2312"/>
          <w:b/>
          <w:bCs/>
          <w:sz w:val="32"/>
        </w:rPr>
        <w:t>来量</w:t>
      </w:r>
      <w:r>
        <w:rPr>
          <w:rFonts w:hint="eastAsia" w:ascii="楷体_GB2312" w:eastAsia="楷体_GB2312"/>
          <w:b/>
          <w:bCs/>
          <w:sz w:val="32"/>
          <w:lang w:val="zh-CN"/>
        </w:rPr>
        <w:t>占比图</w:t>
      </w:r>
    </w:p>
    <w:p>
      <w:pPr>
        <w:spacing w:line="360" w:lineRule="auto"/>
        <w:jc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4238625" cy="1925320"/>
            <wp:effectExtent l="5080" t="5080" r="4445" b="12700"/>
            <wp:docPr id="15" name="图表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本月收费类来量分项统计表</w:t>
      </w:r>
    </w:p>
    <w:tbl>
      <w:tblPr>
        <w:tblStyle w:val="9"/>
        <w:tblW w:w="91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065"/>
        <w:gridCol w:w="1155"/>
        <w:gridCol w:w="1005"/>
        <w:gridCol w:w="1147"/>
        <w:gridCol w:w="1080"/>
        <w:gridCol w:w="1080"/>
        <w:gridCol w:w="987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计量差错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账单争议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收费差错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不明扣费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充值争议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APP收费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收费其他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</w:tr>
    </w:tbl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（六）安全类</w:t>
      </w:r>
    </w:p>
    <w:p>
      <w:pPr>
        <w:spacing w:line="360" w:lineRule="auto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本月关于安全类问题的申诉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来量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共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人次，占全月申诉总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量的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2.77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个百分点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，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与上月相比上升120个百分点，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其中：申诉电信公司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人次，申诉移动公司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人次，申诉联通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人次。</w:t>
      </w:r>
    </w:p>
    <w:p>
      <w:pPr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</w:p>
    <w:p>
      <w:pPr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安全类来量统计表</w:t>
      </w:r>
    </w:p>
    <w:tbl>
      <w:tblPr>
        <w:tblStyle w:val="9"/>
        <w:tblW w:w="5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54.55%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27.27%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18.18%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120.00%</w:t>
            </w:r>
          </w:p>
        </w:tc>
      </w:tr>
    </w:tbl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安全类</w:t>
      </w:r>
      <w:r>
        <w:rPr>
          <w:rFonts w:hint="eastAsia" w:ascii="楷体_GB2312" w:eastAsia="楷体_GB2312"/>
          <w:b/>
          <w:bCs/>
          <w:sz w:val="32"/>
        </w:rPr>
        <w:t>来量</w:t>
      </w:r>
      <w:r>
        <w:rPr>
          <w:rFonts w:hint="eastAsia" w:ascii="楷体_GB2312" w:eastAsia="楷体_GB2312"/>
          <w:b/>
          <w:bCs/>
          <w:sz w:val="32"/>
          <w:lang w:val="zh-CN"/>
        </w:rPr>
        <w:t>统计对比图</w:t>
      </w:r>
    </w:p>
    <w:p>
      <w:pPr>
        <w:jc w:val="center"/>
        <w:rPr>
          <w:rFonts w:ascii="宋体" w:hAnsi="宋体" w:cs="宋体"/>
          <w:color w:val="FF0000"/>
          <w:kern w:val="0"/>
        </w:rPr>
      </w:pPr>
      <w:r>
        <w:rPr>
          <w:color w:val="FF0000"/>
        </w:rPr>
        <w:drawing>
          <wp:inline distT="0" distB="0" distL="0" distR="0">
            <wp:extent cx="4067175" cy="1648460"/>
            <wp:effectExtent l="4445" t="4445" r="5080" b="23495"/>
            <wp:docPr id="16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>
      <w:pPr>
        <w:jc w:val="center"/>
        <w:rPr>
          <w:color w:val="FF0000"/>
        </w:rPr>
      </w:pPr>
    </w:p>
    <w:p>
      <w:pPr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</w:p>
    <w:p>
      <w:pPr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本月安全类来量分项统计表</w:t>
      </w:r>
    </w:p>
    <w:tbl>
      <w:tblPr>
        <w:tblStyle w:val="9"/>
        <w:tblW w:w="7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44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信息安全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网络安全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实名制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APP安全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安全其他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</w:tbl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宋体" w:hAnsi="宋体" w:cs="宋体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</w:t>
      </w:r>
      <w:r>
        <w:rPr>
          <w:rFonts w:hint="eastAsia" w:ascii="楷体_GB2312" w:eastAsia="楷体_GB2312" w:cs="仿宋_GB2312"/>
          <w:b/>
          <w:bCs/>
          <w:sz w:val="32"/>
          <w:szCs w:val="32"/>
        </w:rPr>
        <w:t>七</w:t>
      </w: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）其他类</w:t>
      </w: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其他类分类统计表</w:t>
      </w:r>
    </w:p>
    <w:tbl>
      <w:tblPr>
        <w:tblStyle w:val="9"/>
        <w:tblW w:w="7035" w:type="dxa"/>
        <w:tblInd w:w="114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065"/>
        <w:gridCol w:w="1215"/>
        <w:gridCol w:w="1291"/>
        <w:gridCol w:w="1139"/>
        <w:gridCol w:w="1290"/>
        <w:gridCol w:w="1035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撤诉信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非电信业务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表扬信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</w:pPr>
            <w:r>
              <w:rPr>
                <w:rFonts w:hint="eastAsia"/>
              </w:rPr>
              <w:t>建议信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其他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电信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移动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联通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</w:tr>
    </w:tbl>
    <w:p>
      <w:pPr>
        <w:pStyle w:val="8"/>
        <w:spacing w:line="360" w:lineRule="auto"/>
        <w:ind w:firstLine="560" w:firstLineChars="200"/>
        <w:rPr>
          <w:rFonts w:ascii="黑体" w:eastAsia="黑体" w:cs="仿宋_GB2312"/>
          <w:sz w:val="28"/>
          <w:szCs w:val="28"/>
          <w:lang w:val="zh-CN"/>
        </w:rPr>
      </w:pPr>
    </w:p>
    <w:p>
      <w:pPr>
        <w:pStyle w:val="8"/>
        <w:spacing w:line="360" w:lineRule="auto"/>
        <w:ind w:firstLine="640" w:firstLineChars="200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五、电信用户申诉处理情况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color w:val="auto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本月我中心受理申诉</w:t>
      </w:r>
      <w:r>
        <w:rPr>
          <w:rFonts w:hint="eastAsia" w:ascii="仿宋_GB2312" w:eastAsia="仿宋_GB2312" w:cs="仿宋_GB2312"/>
          <w:sz w:val="32"/>
          <w:szCs w:val="32"/>
        </w:rPr>
        <w:t>来量共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397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人次。转办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人次，占总申诉量的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1.76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个百分点，其中：电信公司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  <w:r>
        <w:rPr>
          <w:rFonts w:hint="eastAsia" w:ascii="仿宋_GB2312" w:eastAsia="仿宋_GB2312" w:cs="仿宋_GB2312"/>
          <w:color w:val="auto"/>
          <w:sz w:val="32"/>
          <w:szCs w:val="32"/>
          <w:lang w:val="zh-CN"/>
        </w:rPr>
        <w:t>另外协助上级部门办理信访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color w:val="auto"/>
          <w:sz w:val="32"/>
          <w:szCs w:val="32"/>
          <w:lang w:val="zh-CN"/>
        </w:rPr>
        <w:t>件。其中：电信公司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 w:cs="仿宋_GB2312"/>
          <w:color w:val="auto"/>
          <w:sz w:val="32"/>
          <w:szCs w:val="32"/>
          <w:lang w:val="zh-CN"/>
        </w:rPr>
        <w:t>件，移动公司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color w:val="auto"/>
          <w:sz w:val="32"/>
          <w:szCs w:val="32"/>
          <w:lang w:val="zh-CN"/>
        </w:rPr>
        <w:t>件，联通公司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color w:val="auto"/>
          <w:sz w:val="32"/>
          <w:szCs w:val="32"/>
          <w:lang w:val="zh-CN"/>
        </w:rPr>
        <w:t>件。</w:t>
      </w:r>
    </w:p>
    <w:p>
      <w:pPr>
        <w:pStyle w:val="8"/>
        <w:tabs>
          <w:tab w:val="left" w:pos="612"/>
        </w:tabs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本月各企业用户申诉来量分类统计表</w:t>
      </w:r>
    </w:p>
    <w:tbl>
      <w:tblPr>
        <w:tblStyle w:val="9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840"/>
        <w:gridCol w:w="840"/>
        <w:gridCol w:w="840"/>
        <w:gridCol w:w="840"/>
        <w:gridCol w:w="840"/>
        <w:gridCol w:w="840"/>
        <w:gridCol w:w="690"/>
        <w:gridCol w:w="765"/>
        <w:gridCol w:w="810"/>
        <w:gridCol w:w="660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资费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营销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网络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服务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收费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安全</w:t>
            </w:r>
          </w:p>
        </w:tc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其他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</w:t>
            </w:r>
          </w:p>
        </w:tc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转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信</w:t>
            </w:r>
          </w:p>
        </w:tc>
        <w:tc>
          <w:tcPr>
            <w:tcW w:w="8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计</w:t>
            </w:r>
          </w:p>
        </w:tc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访</w:t>
            </w:r>
          </w:p>
        </w:tc>
        <w:tc>
          <w:tcPr>
            <w:tcW w:w="8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申诉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cs="宋体" w:asciiTheme="majorEastAsia" w:hAnsiTheme="majorEastAsia" w:eastAsiaTheme="majorEastAsia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lang w:val="en-US" w:eastAsia="zh-CN"/>
              </w:rPr>
              <w:t>0</w:t>
            </w:r>
          </w:p>
        </w:tc>
        <w:tc>
          <w:tcPr>
            <w:tcW w:w="8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cs="宋体" w:asciiTheme="majorEastAsia" w:hAnsiTheme="majorEastAsia" w:eastAsiaTheme="majorEastAsia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lang w:val="en-US" w:eastAsia="zh-CN"/>
              </w:rPr>
              <w:t>6</w:t>
            </w:r>
          </w:p>
        </w:tc>
        <w:tc>
          <w:tcPr>
            <w:tcW w:w="8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cs="宋体" w:asciiTheme="majorEastAsia" w:hAnsiTheme="majorEastAsia" w:eastAsiaTheme="majorEastAsia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lang w:val="en-US" w:eastAsia="zh-CN"/>
              </w:rPr>
              <w:t>3</w:t>
            </w:r>
          </w:p>
        </w:tc>
        <w:tc>
          <w:tcPr>
            <w:tcW w:w="8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cs="宋体" w:asciiTheme="majorEastAsia" w:hAnsiTheme="majorEastAsia" w:eastAsiaTheme="majorEastAsia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lang w:val="en-US" w:eastAsia="zh-CN"/>
              </w:rPr>
              <w:t>9</w:t>
            </w:r>
          </w:p>
        </w:tc>
        <w:tc>
          <w:tcPr>
            <w:tcW w:w="8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占比%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10.58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8.56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15.37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48.87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13.85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2.77</w:t>
            </w:r>
          </w:p>
        </w:tc>
        <w:tc>
          <w:tcPr>
            <w:tcW w:w="6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8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6.05</w:t>
            </w:r>
          </w:p>
        </w:tc>
      </w:tr>
    </w:tbl>
    <w:p>
      <w:pPr>
        <w:pStyle w:val="8"/>
        <w:tabs>
          <w:tab w:val="left" w:pos="612"/>
        </w:tabs>
        <w:spacing w:line="360" w:lineRule="auto"/>
        <w:ind w:firstLine="640" w:firstLineChars="200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六、百万用户申诉率</w:t>
      </w:r>
    </w:p>
    <w:tbl>
      <w:tblPr>
        <w:tblStyle w:val="9"/>
        <w:tblW w:w="84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2456"/>
        <w:gridCol w:w="1842"/>
        <w:gridCol w:w="22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楷体_GB2312" w:hAnsi="宋体" w:eastAsia="楷体_GB2312" w:cs="楷体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百万用户申诉率统计表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7.79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54.12%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45.93%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258.99%</w:t>
            </w:r>
          </w:p>
        </w:tc>
      </w:tr>
    </w:tbl>
    <w:p>
      <w:pPr>
        <w:pStyle w:val="8"/>
        <w:spacing w:line="360" w:lineRule="auto"/>
        <w:ind w:firstLine="630" w:firstLineChars="300"/>
        <w:rPr>
          <w:rFonts w:ascii="黑体" w:eastAsia="黑体" w:cs="仿宋_GB2312"/>
          <w:szCs w:val="21"/>
        </w:rPr>
      </w:pPr>
      <w:r>
        <w:rPr>
          <w:rFonts w:hint="eastAsia" w:ascii="黑体" w:eastAsia="黑体" w:cs="仿宋_GB2312"/>
          <w:szCs w:val="21"/>
        </w:rPr>
        <w:t>注：此统计只做省内统计分析，不做考核依据。</w:t>
      </w:r>
    </w:p>
    <w:p>
      <w:pPr>
        <w:pStyle w:val="8"/>
        <w:spacing w:line="360" w:lineRule="auto"/>
        <w:ind w:firstLine="640" w:firstLineChars="200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七、重点问题申诉</w:t>
      </w:r>
    </w:p>
    <w:p>
      <w:pPr>
        <w:pStyle w:val="19"/>
        <w:numPr>
          <w:ilvl w:val="0"/>
          <w:numId w:val="1"/>
        </w:numPr>
        <w:spacing w:line="360" w:lineRule="auto"/>
        <w:ind w:leftChars="0" w:firstLineChars="0"/>
        <w:rPr>
          <w:rFonts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电信公司重点关注问题</w:t>
      </w:r>
    </w:p>
    <w:p>
      <w:pPr>
        <w:pStyle w:val="19"/>
        <w:spacing w:line="360" w:lineRule="auto"/>
        <w:ind w:left="0" w:leftChars="0" w:firstLine="643" w:firstLineChars="200"/>
        <w:jc w:val="both"/>
        <w:rPr>
          <w:rFonts w:hint="eastAsia" w:ascii="楷体_GB2312" w:eastAsia="楷体_GB2312"/>
          <w:b w:val="0"/>
          <w:bCs w:val="0"/>
          <w:sz w:val="32"/>
          <w:szCs w:val="32"/>
          <w:lang w:val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固网电话方面：</w:t>
      </w:r>
      <w:r>
        <w:rPr>
          <w:rFonts w:hint="eastAsia" w:ascii="楷体_GB2312" w:eastAsia="楷体_GB2312"/>
          <w:b w:val="0"/>
          <w:bCs w:val="0"/>
          <w:sz w:val="32"/>
          <w:szCs w:val="32"/>
          <w:lang w:val="zh-CN"/>
        </w:rPr>
        <w:t>固话维修不及时，固话拆机无提醒。</w:t>
      </w:r>
    </w:p>
    <w:p>
      <w:pPr>
        <w:pStyle w:val="19"/>
        <w:spacing w:line="360" w:lineRule="auto"/>
        <w:ind w:left="0" w:leftChars="0" w:firstLine="643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固网宽带方面: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CN"/>
        </w:rPr>
        <w:t>宽带停机后继续扣费；宽带无法拆机；宽带装移修不及时；ITV增值业务扣费争议。</w:t>
      </w:r>
    </w:p>
    <w:p>
      <w:pPr>
        <w:pStyle w:val="19"/>
        <w:spacing w:line="360" w:lineRule="auto"/>
        <w:ind w:left="0" w:leftChars="0"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移动电话方面: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手机疑似骚扰或诈骗被关停；手机信号差；流量使用争议；无法改资费。</w:t>
      </w:r>
    </w:p>
    <w:p>
      <w:pPr>
        <w:pStyle w:val="19"/>
        <w:spacing w:line="360" w:lineRule="auto"/>
        <w:ind w:left="0" w:leftChars="0" w:firstLine="643" w:firstLineChars="200"/>
        <w:jc w:val="left"/>
        <w:rPr>
          <w:rFonts w:ascii="楷体_GB2312" w:hAnsi="楷体_GB2312" w:eastAsia="楷体_GB2312" w:cs="楷体_GB2312"/>
          <w:kern w:val="0"/>
          <w:sz w:val="32"/>
          <w:szCs w:val="32"/>
          <w:highlight w:val="yellow"/>
          <w:lang w:val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（</w:t>
      </w:r>
      <w:r>
        <w:rPr>
          <w:rFonts w:hint="eastAsia" w:ascii="楷体_GB2312" w:eastAsia="楷体_GB2312"/>
          <w:b/>
          <w:bCs/>
          <w:sz w:val="32"/>
          <w:szCs w:val="32"/>
        </w:rPr>
        <w:t>二</w:t>
      </w: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）移动公司关注的重点问题</w:t>
      </w:r>
    </w:p>
    <w:p>
      <w:pPr>
        <w:pStyle w:val="19"/>
        <w:spacing w:line="360" w:lineRule="auto"/>
        <w:ind w:left="0" w:leftChars="0" w:firstLine="790" w:firstLineChars="246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移动电话方面：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企业网厅购卡的宣传与用户理解不一致，用户认为企业虚假宣传、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优质号码保底消费无法降低或取消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号码无故被封停；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营业厅办活动未介绍清楚导致用户误解，后期无法提前解约、资费套餐无故修改；号码无法正常办理过户。</w:t>
      </w:r>
    </w:p>
    <w:p>
      <w:pPr>
        <w:pStyle w:val="19"/>
        <w:spacing w:line="360" w:lineRule="auto"/>
        <w:ind w:left="1060" w:leftChars="352" w:hanging="321" w:hangingChars="100"/>
        <w:jc w:val="left"/>
        <w:rPr>
          <w:rFonts w:ascii="楷体_GB2312" w:eastAsia="楷体_GB2312"/>
          <w:b/>
          <w:bCs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上</w:t>
      </w: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网流量方面：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CN" w:eastAsia="zh-CN"/>
        </w:rPr>
        <w:t>流量使用争议。</w:t>
      </w:r>
    </w:p>
    <w:p>
      <w:pPr>
        <w:pStyle w:val="19"/>
        <w:spacing w:line="360" w:lineRule="auto"/>
        <w:ind w:left="0" w:leftChars="0" w:firstLine="790" w:firstLineChars="246"/>
        <w:rPr>
          <w:rFonts w:hint="eastAsia" w:ascii="仿宋_GB2312" w:hAnsi="宋体" w:eastAsia="仿宋_GB2312" w:cs="宋体"/>
          <w:kern w:val="0"/>
          <w:sz w:val="32"/>
          <w:szCs w:val="32"/>
          <w:lang w:val="zh-CN" w:eastAsia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固网宽带问题：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CN" w:eastAsia="zh-CN"/>
        </w:rPr>
        <w:t>部分小区宽带无覆盖；宽带拆机收费质疑。</w:t>
      </w:r>
    </w:p>
    <w:p>
      <w:pPr>
        <w:pStyle w:val="19"/>
        <w:spacing w:line="360" w:lineRule="auto"/>
        <w:ind w:left="1063" w:hanging="643"/>
        <w:rPr>
          <w:rFonts w:ascii="楷体_GB2312" w:eastAsia="楷体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（三）联通公司关注的重点问题</w:t>
      </w:r>
    </w:p>
    <w:p>
      <w:pPr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2"/>
          <w:sz w:val="32"/>
          <w:szCs w:val="32"/>
          <w:lang w:val="zh-CN" w:eastAsia="zh-CN" w:bidi="ar-SA"/>
        </w:rPr>
        <w:t>移动电话方面：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移动电话方面：用户主要反映号码被动无故关停，包括疑似骚扰诈骗关停、通过非法渠道办理资费及优惠包后被强制停机、实名制停机等；办理携号转网存在障碍，包括企业刻意设置携出条件、收不到授权码等；网络无覆盖或弱覆盖；2、3G退网造成部分用户无法使用；电话营销扰民、用户认为电话营销内容与实际不符等。</w:t>
      </w:r>
    </w:p>
    <w:p>
      <w:pPr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2"/>
          <w:sz w:val="32"/>
          <w:szCs w:val="32"/>
          <w:lang w:val="zh-CN" w:eastAsia="zh-CN" w:bidi="ar-SA"/>
        </w:rPr>
        <w:t>固网宽带方面：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本月无聚类问题。</w:t>
      </w:r>
    </w:p>
    <w:p>
      <w:pPr>
        <w:ind w:firstLine="643" w:firstLine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ind w:firstLine="643" w:firstLine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八、携号转网</w:t>
      </w:r>
    </w:p>
    <w:p>
      <w:pPr>
        <w:pStyle w:val="8"/>
        <w:spacing w:line="360" w:lineRule="auto"/>
        <w:ind w:firstLine="640" w:firstLineChars="200"/>
        <w:rPr>
          <w:rFonts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本月携号转网共受理申诉来量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41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人次，均为咨询建议，无转办。本月受理总量与上月的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人次相比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上升412.5个百分点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。其中，电信公司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人次，移动公司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人次，联通公司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28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人次。</w:t>
      </w:r>
    </w:p>
    <w:p>
      <w:pPr>
        <w:pStyle w:val="8"/>
        <w:spacing w:line="360" w:lineRule="auto"/>
        <w:ind w:firstLine="321"/>
        <w:jc w:val="center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携号转网申来量诉统计表</w:t>
      </w:r>
    </w:p>
    <w:tbl>
      <w:tblPr>
        <w:tblStyle w:val="9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携出方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携入方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84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咨询量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申诉量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</w:tr>
    </w:tbl>
    <w:p>
      <w:pPr>
        <w:pStyle w:val="8"/>
        <w:spacing w:line="360" w:lineRule="auto"/>
        <w:ind w:firstLine="280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Cs/>
          <w:sz w:val="28"/>
          <w:szCs w:val="28"/>
        </w:rPr>
        <w:t>注：不含部转携号转网</w:t>
      </w:r>
    </w:p>
    <w:p>
      <w:pPr>
        <w:pStyle w:val="8"/>
        <w:spacing w:line="360" w:lineRule="auto"/>
        <w:ind w:firstLine="643" w:firstLineChars="20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携号转网用户反映的主要问题如下：</w:t>
      </w:r>
    </w:p>
    <w:p>
      <w:pPr>
        <w:pStyle w:val="8"/>
        <w:spacing w:line="360" w:lineRule="auto"/>
        <w:ind w:firstLine="630" w:firstLineChars="197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ascii="仿宋_GB2312" w:eastAsia="仿宋_GB2312" w:cs="仿宋_GB2312"/>
          <w:sz w:val="32"/>
          <w:szCs w:val="32"/>
          <w:lang w:val="zh-CN"/>
        </w:rPr>
        <w:t>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企业增加携号转网限制条件，如保底消费、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家庭业务绑定、营销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活动等。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ascii="仿宋_GB2312" w:eastAsia="仿宋_GB2312" w:cs="仿宋_GB2312"/>
          <w:sz w:val="32"/>
          <w:szCs w:val="32"/>
          <w:lang w:val="zh-CN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、转网后费用无法正常退还；无法接收短信、主被叫无法正常接通</w:t>
      </w:r>
      <w:r>
        <w:rPr>
          <w:rFonts w:hint="eastAsia" w:ascii="仿宋_GB2312" w:eastAsia="仿宋_GB2312" w:cs="仿宋_GB2312"/>
          <w:sz w:val="32"/>
          <w:szCs w:val="32"/>
        </w:rPr>
        <w:t>电话；</w:t>
      </w:r>
    </w:p>
    <w:p>
      <w:pPr>
        <w:pStyle w:val="19"/>
        <w:tabs>
          <w:tab w:val="left" w:pos="567"/>
        </w:tabs>
        <w:spacing w:line="360" w:lineRule="auto"/>
        <w:ind w:left="0" w:leftChars="0" w:firstLine="643" w:firstLineChars="200"/>
        <w:rPr>
          <w:rFonts w:ascii="黑体" w:eastAsia="黑体" w:cs="仿宋_GB2312"/>
          <w:b/>
          <w:sz w:val="32"/>
          <w:szCs w:val="32"/>
          <w:lang w:val="zh-CN"/>
        </w:rPr>
      </w:pPr>
      <w:r>
        <w:rPr>
          <w:rFonts w:hint="eastAsia" w:ascii="黑体" w:eastAsia="黑体" w:cs="仿宋_GB2312"/>
          <w:b/>
          <w:sz w:val="32"/>
          <w:szCs w:val="32"/>
          <w:lang w:val="zh-CN"/>
        </w:rPr>
        <w:t>九、</w:t>
      </w:r>
      <w:r>
        <w:rPr>
          <w:rFonts w:hint="eastAsia" w:ascii="黑体" w:eastAsia="黑体" w:cs="仿宋_GB2312"/>
          <w:b/>
          <w:sz w:val="32"/>
          <w:szCs w:val="32"/>
        </w:rPr>
        <w:t>对</w:t>
      </w:r>
      <w:r>
        <w:rPr>
          <w:rFonts w:hint="eastAsia" w:ascii="黑体" w:eastAsia="黑体" w:cs="仿宋_GB2312"/>
          <w:b/>
          <w:sz w:val="32"/>
          <w:szCs w:val="32"/>
          <w:lang w:val="zh-CN"/>
        </w:rPr>
        <w:t>其他企业</w:t>
      </w:r>
      <w:r>
        <w:rPr>
          <w:rFonts w:hint="eastAsia" w:ascii="黑体" w:eastAsia="黑体" w:cs="仿宋_GB2312"/>
          <w:b/>
          <w:sz w:val="32"/>
          <w:szCs w:val="32"/>
        </w:rPr>
        <w:t>的申诉</w:t>
      </w:r>
    </w:p>
    <w:p>
      <w:pPr>
        <w:pStyle w:val="19"/>
        <w:spacing w:line="360" w:lineRule="auto"/>
        <w:ind w:left="23" w:leftChars="11" w:firstLine="640" w:firstLineChars="200"/>
        <w:rPr>
          <w:rFonts w:ascii="仿宋_GB2312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本月我中心共受理其他企业申诉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来量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人次，与上月的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人次</w:t>
      </w:r>
      <w:r>
        <w:rPr>
          <w:rFonts w:hint="eastAsia" w:ascii="仿宋_GB2312" w:eastAsia="仿宋_GB2312"/>
          <w:sz w:val="32"/>
          <w:szCs w:val="32"/>
        </w:rPr>
        <w:t>相比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上升100</w:t>
      </w:r>
      <w:r>
        <w:rPr>
          <w:rFonts w:hint="eastAsia" w:ascii="仿宋_GB2312" w:eastAsia="仿宋_GB2312"/>
          <w:sz w:val="32"/>
          <w:szCs w:val="32"/>
        </w:rPr>
        <w:t>个百分点。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本月</w:t>
      </w:r>
      <w:r>
        <w:rPr>
          <w:rFonts w:hint="eastAsia" w:ascii="仿宋_GB2312" w:eastAsia="仿宋_GB2312" w:cs="仿宋_GB2312"/>
          <w:sz w:val="32"/>
          <w:szCs w:val="32"/>
        </w:rPr>
        <w:t>申诉广电公司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人次，长城宽带公司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人次，其他公司0人次。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另外协助上级部门办理信访</w:t>
      </w:r>
      <w:r>
        <w:rPr>
          <w:rFonts w:hint="eastAsia" w:ascii="仿宋_GB2312" w:eastAsia="仿宋_GB2312" w:cs="仿宋_GB2312"/>
          <w:sz w:val="32"/>
          <w:szCs w:val="32"/>
        </w:rPr>
        <w:t>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件。</w:t>
      </w:r>
    </w:p>
    <w:tbl>
      <w:tblPr>
        <w:tblStyle w:val="9"/>
        <w:tblW w:w="83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927"/>
        <w:gridCol w:w="1080"/>
        <w:gridCol w:w="1395"/>
        <w:gridCol w:w="1110"/>
        <w:gridCol w:w="945"/>
        <w:gridCol w:w="1005"/>
        <w:gridCol w:w="1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44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楷体_GB2312" w:hAnsi="宋体" w:eastAsia="楷体_GB2312" w:cs="楷体_GB2312"/>
                <w:b/>
                <w:sz w:val="32"/>
                <w:szCs w:val="32"/>
              </w:rPr>
            </w:pPr>
            <w:r>
              <w:rPr>
                <w:rFonts w:hint="eastAsia" w:ascii="楷体_GB2312" w:hAnsi="宋体" w:eastAsia="楷体_GB2312" w:cs="楷体_GB2312"/>
                <w:b/>
                <w:kern w:val="0"/>
                <w:sz w:val="32"/>
                <w:szCs w:val="32"/>
              </w:rPr>
              <w:t>其他企业申诉来量统计表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资费类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网络类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咨询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转办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信访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广电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长宽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其他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</w:rPr>
      </w:pPr>
    </w:p>
    <w:p>
      <w:pPr>
        <w:rPr>
          <w:rFonts w:ascii="方正小标宋_GBK" w:eastAsia="方正小标宋_GBK"/>
          <w:sz w:val="44"/>
          <w:szCs w:val="44"/>
        </w:rPr>
      </w:pPr>
      <w:r>
        <w:rPr>
          <w:rFonts w:hint="eastAsia" w:ascii="仿宋_GB2312" w:eastAsia="仿宋_GB2312"/>
          <w:sz w:val="32"/>
        </w:rPr>
        <w:t>附件：</w:t>
      </w:r>
      <w:r>
        <w:rPr>
          <w:rFonts w:ascii="仿宋_GB2312" w:eastAsia="仿宋_GB2312"/>
          <w:sz w:val="32"/>
        </w:rPr>
        <w:t>1</w:t>
      </w:r>
      <w:r>
        <w:rPr>
          <w:rFonts w:hint="eastAsia" w:ascii="仿宋_GB2312" w:eastAsia="仿宋_GB2312"/>
          <w:sz w:val="32"/>
        </w:rPr>
        <w:t>．</w:t>
      </w:r>
      <w:r>
        <w:rPr>
          <w:rFonts w:hint="eastAsia" w:ascii="仿宋_GB2312" w:eastAsia="仿宋_GB2312"/>
          <w:sz w:val="32"/>
          <w:szCs w:val="32"/>
        </w:rPr>
        <w:t>各电信运营企业处理回复量对比表</w:t>
      </w: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</w:rPr>
        <w:t>2</w:t>
      </w:r>
      <w:r>
        <w:rPr>
          <w:rFonts w:hint="eastAsia" w:ascii="仿宋_GB2312" w:eastAsia="仿宋_GB2312"/>
          <w:sz w:val="32"/>
        </w:rPr>
        <w:t>．本</w:t>
      </w:r>
      <w:r>
        <w:rPr>
          <w:rFonts w:hint="eastAsia" w:ascii="仿宋_GB2312" w:eastAsia="仿宋_GB2312"/>
          <w:sz w:val="32"/>
          <w:szCs w:val="32"/>
        </w:rPr>
        <w:t>月份电信用户申诉所属地市统计表</w:t>
      </w:r>
    </w:p>
    <w:p>
      <w:pPr>
        <w:spacing w:line="360" w:lineRule="auto"/>
        <w:ind w:firstLine="4480" w:firstLineChars="1400"/>
        <w:rPr>
          <w:rFonts w:hint="eastAsia" w:ascii="仿宋_GB2312" w:eastAsia="仿宋_GB2312"/>
          <w:sz w:val="32"/>
        </w:rPr>
      </w:pPr>
    </w:p>
    <w:p>
      <w:pPr>
        <w:spacing w:line="360" w:lineRule="auto"/>
        <w:ind w:firstLine="4480" w:firstLineChars="14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湖北省通信行业协会电信</w:t>
      </w:r>
    </w:p>
    <w:p>
      <w:pPr>
        <w:spacing w:line="360" w:lineRule="auto"/>
        <w:ind w:firstLine="5120" w:firstLineChars="16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用户申诉受理中心</w:t>
      </w:r>
    </w:p>
    <w:p>
      <w:pPr>
        <w:spacing w:line="360" w:lineRule="auto"/>
        <w:ind w:firstLine="5120" w:firstLineChars="1600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20</w:t>
      </w:r>
      <w:r>
        <w:rPr>
          <w:rFonts w:hint="eastAsia" w:ascii="仿宋_GB2312" w:eastAsia="仿宋_GB2312"/>
          <w:sz w:val="32"/>
        </w:rPr>
        <w:t>20年</w:t>
      </w:r>
      <w:r>
        <w:rPr>
          <w:rFonts w:hint="eastAsia" w:ascii="仿宋_GB2312" w:eastAsia="仿宋_GB2312"/>
          <w:sz w:val="32"/>
          <w:lang w:val="en-US" w:eastAsia="zh-CN"/>
        </w:rPr>
        <w:t>12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日</w:t>
      </w:r>
    </w:p>
    <w:p>
      <w:pPr>
        <w:spacing w:line="360" w:lineRule="auto"/>
        <w:rPr>
          <w:rFonts w:ascii="仿宋_GB2312" w:eastAsia="仿宋_GB2312"/>
          <w:color w:val="FF000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发：部电信管理局、部电信用户申诉受理中心，湖北省通信管理局，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湖北省通信行业协会。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送：中国电信股份有限公司湖北分公司、中国移动通信集团湖北有限</w:t>
      </w:r>
    </w:p>
    <w:p>
      <w:pPr>
        <w:spacing w:line="360" w:lineRule="auto"/>
        <w:rPr>
          <w:rFonts w:ascii="仿宋_GB2312" w:eastAsia="仿宋_GB2312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531" w:right="1531" w:bottom="45" w:left="153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</w:rPr>
        <w:t xml:space="preserve">    公司、中国联合网络通信有限公司湖北省分公司、湖北省通信用户委员会、湖北消费者委员会。</w:t>
      </w:r>
    </w:p>
    <w:p>
      <w:pPr>
        <w:rPr>
          <w:rFonts w:ascii="黑体" w:hAnsi="仿宋_GB2312" w:eastAsia="黑体" w:cs="仿宋_GB2312"/>
          <w:kern w:val="0"/>
          <w:sz w:val="32"/>
          <w:szCs w:val="32"/>
          <w:lang w:val="zh-CN"/>
        </w:rPr>
      </w:pPr>
      <w:r>
        <w:rPr>
          <w:rFonts w:hint="eastAsia" w:ascii="黑体" w:hAnsi="仿宋_GB2312" w:eastAsia="黑体" w:cs="仿宋_GB2312"/>
          <w:kern w:val="0"/>
          <w:sz w:val="32"/>
          <w:szCs w:val="32"/>
          <w:lang w:val="zh-CN"/>
        </w:rPr>
        <w:t>附件</w:t>
      </w:r>
      <w:r>
        <w:rPr>
          <w:rFonts w:ascii="黑体" w:hAnsi="仿宋_GB2312" w:eastAsia="黑体" w:cs="仿宋_GB2312"/>
          <w:kern w:val="0"/>
          <w:sz w:val="32"/>
          <w:szCs w:val="32"/>
          <w:lang w:val="zh-CN"/>
        </w:rPr>
        <w:t>1</w:t>
      </w:r>
    </w:p>
    <w:p>
      <w:pPr>
        <w:rPr>
          <w:rFonts w:ascii="黑体" w:hAnsi="仿宋_GB2312" w:eastAsia="黑体" w:cs="仿宋_GB2312"/>
          <w:kern w:val="0"/>
          <w:sz w:val="32"/>
          <w:szCs w:val="32"/>
          <w:lang w:val="zh-CN"/>
        </w:rPr>
      </w:pPr>
    </w:p>
    <w:tbl>
      <w:tblPr>
        <w:tblStyle w:val="9"/>
        <w:tblW w:w="9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860"/>
        <w:gridCol w:w="1860"/>
        <w:gridCol w:w="1860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00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方正小标宋_GBK" w:hAnsi="宋体" w:eastAsia="方正小标宋_GBK" w:cs="宋体"/>
                <w:color w:val="FF0000"/>
                <w:kern w:val="0"/>
                <w:sz w:val="44"/>
                <w:szCs w:val="44"/>
              </w:rPr>
            </w:pPr>
            <w:r>
              <w:rPr>
                <w:rFonts w:ascii="方正小标宋_GBK" w:hAnsi="方正小标宋_GBK" w:eastAsia="方正小标宋_GBK" w:cs="方正小标宋_GBK"/>
                <w:kern w:val="0"/>
                <w:sz w:val="44"/>
                <w:szCs w:val="44"/>
              </w:rPr>
              <w:t>各电信运营企业转办量对比表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11月份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10月份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当月占比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电信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28.57%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移动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57.14%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联通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14.29%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40.00%</w:t>
            </w:r>
          </w:p>
        </w:tc>
      </w:tr>
    </w:tbl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黑体" w:hAnsi="仿宋_GB2312" w:eastAsia="黑体" w:cs="仿宋_GB2312"/>
          <w:kern w:val="0"/>
          <w:sz w:val="32"/>
          <w:szCs w:val="32"/>
          <w:lang w:val="zh-CN"/>
        </w:rPr>
      </w:pPr>
    </w:p>
    <w:p>
      <w:pPr>
        <w:rPr>
          <w:rFonts w:hint="eastAsia" w:ascii="黑体" w:hAnsi="仿宋_GB2312" w:eastAsia="黑体" w:cs="仿宋_GB2312"/>
          <w:kern w:val="0"/>
          <w:sz w:val="32"/>
          <w:szCs w:val="32"/>
          <w:lang w:val="zh-CN"/>
        </w:rPr>
      </w:pPr>
    </w:p>
    <w:p>
      <w:pPr>
        <w:rPr>
          <w:rFonts w:ascii="黑体" w:hAnsi="仿宋_GB2312" w:eastAsia="黑体" w:cs="仿宋_GB2312"/>
          <w:kern w:val="0"/>
          <w:sz w:val="32"/>
          <w:szCs w:val="32"/>
          <w:lang w:val="zh-CN"/>
        </w:rPr>
      </w:pPr>
      <w:r>
        <w:rPr>
          <w:rFonts w:hint="eastAsia" w:ascii="黑体" w:hAnsi="仿宋_GB2312" w:eastAsia="黑体" w:cs="仿宋_GB2312"/>
          <w:kern w:val="0"/>
          <w:sz w:val="32"/>
          <w:szCs w:val="32"/>
          <w:lang w:val="zh-CN"/>
        </w:rPr>
        <w:t>附件</w:t>
      </w:r>
      <w:r>
        <w:rPr>
          <w:rFonts w:ascii="黑体" w:hAnsi="仿宋_GB2312" w:eastAsia="黑体" w:cs="仿宋_GB2312"/>
          <w:kern w:val="0"/>
          <w:sz w:val="32"/>
          <w:szCs w:val="32"/>
          <w:lang w:val="zh-CN"/>
        </w:rPr>
        <w:t>2</w:t>
      </w:r>
    </w:p>
    <w:tbl>
      <w:tblPr>
        <w:tblStyle w:val="9"/>
        <w:tblW w:w="13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60"/>
        <w:gridCol w:w="1660"/>
        <w:gridCol w:w="1660"/>
        <w:gridCol w:w="1660"/>
        <w:gridCol w:w="1660"/>
        <w:gridCol w:w="1660"/>
        <w:gridCol w:w="1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280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color w:val="FF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4"/>
                <w:szCs w:val="44"/>
              </w:rPr>
              <w:t>本月电信用户申诉所属地市来量统计表</w:t>
            </w:r>
          </w:p>
        </w:tc>
      </w:tr>
      <w:tr>
        <w:trPr>
          <w:trHeight w:val="345" w:hRule="atLeast"/>
          <w:jc w:val="center"/>
        </w:trPr>
        <w:tc>
          <w:tcPr>
            <w:tcW w:w="3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电信湖北公司</w:t>
            </w:r>
          </w:p>
        </w:tc>
        <w:tc>
          <w:tcPr>
            <w:tcW w:w="33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移动湖北公司</w:t>
            </w:r>
          </w:p>
        </w:tc>
        <w:tc>
          <w:tcPr>
            <w:tcW w:w="33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联通湖北公司</w:t>
            </w:r>
          </w:p>
        </w:tc>
        <w:tc>
          <w:tcPr>
            <w:tcW w:w="33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公司名称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申诉人次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武汉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武汉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武汉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广电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长城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十堰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十堰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十堰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宜昌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宜昌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宜昌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襄阳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襄阳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襄阳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鄂州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鄂州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鄂州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荆门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荆门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荆门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孝感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孝感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孝感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黄冈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黄冈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黄冈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咸宁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咸宁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咸宁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随州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随州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随州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恩施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恩施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恩施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江汉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江汉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江汉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外省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外省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外省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8</w:t>
            </w:r>
          </w:p>
        </w:tc>
      </w:tr>
    </w:tbl>
    <w:p>
      <w:pPr>
        <w:rPr>
          <w:rFonts w:ascii="宋体" w:hAnsi="宋体" w:cs="宋体"/>
          <w:color w:val="FF0000"/>
          <w:kern w:val="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76422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19</w:t>
        </w:r>
        <w:r>
          <w:rPr>
            <w:lang w:val="zh-CN"/>
          </w:rPr>
          <w:fldChar w:fldCharType="end"/>
        </w:r>
      </w:p>
    </w:sdtContent>
  </w:sdt>
  <w:p>
    <w:pPr>
      <w:pStyle w:val="5"/>
      <w:ind w:right="840"/>
      <w:jc w:val="right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C00BC"/>
    <w:multiLevelType w:val="multilevel"/>
    <w:tmpl w:val="473C00BC"/>
    <w:lvl w:ilvl="0" w:tentative="0">
      <w:start w:val="1"/>
      <w:numFmt w:val="japaneseCounting"/>
      <w:lvlText w:val="（%1）"/>
      <w:lvlJc w:val="left"/>
      <w:pPr>
        <w:ind w:left="1743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03" w:hanging="420"/>
      </w:pPr>
    </w:lvl>
    <w:lvl w:ilvl="2" w:tentative="0">
      <w:start w:val="1"/>
      <w:numFmt w:val="lowerRoman"/>
      <w:lvlText w:val="%3."/>
      <w:lvlJc w:val="right"/>
      <w:pPr>
        <w:ind w:left="1923" w:hanging="420"/>
      </w:pPr>
    </w:lvl>
    <w:lvl w:ilvl="3" w:tentative="0">
      <w:start w:val="1"/>
      <w:numFmt w:val="decimal"/>
      <w:lvlText w:val="%4."/>
      <w:lvlJc w:val="left"/>
      <w:pPr>
        <w:ind w:left="2343" w:hanging="420"/>
      </w:pPr>
    </w:lvl>
    <w:lvl w:ilvl="4" w:tentative="0">
      <w:start w:val="1"/>
      <w:numFmt w:val="lowerLetter"/>
      <w:lvlText w:val="%5)"/>
      <w:lvlJc w:val="left"/>
      <w:pPr>
        <w:ind w:left="2763" w:hanging="420"/>
      </w:pPr>
    </w:lvl>
    <w:lvl w:ilvl="5" w:tentative="0">
      <w:start w:val="1"/>
      <w:numFmt w:val="lowerRoman"/>
      <w:lvlText w:val="%6."/>
      <w:lvlJc w:val="right"/>
      <w:pPr>
        <w:ind w:left="3183" w:hanging="420"/>
      </w:pPr>
    </w:lvl>
    <w:lvl w:ilvl="6" w:tentative="0">
      <w:start w:val="1"/>
      <w:numFmt w:val="decimal"/>
      <w:lvlText w:val="%7."/>
      <w:lvlJc w:val="left"/>
      <w:pPr>
        <w:ind w:left="3603" w:hanging="420"/>
      </w:pPr>
    </w:lvl>
    <w:lvl w:ilvl="7" w:tentative="0">
      <w:start w:val="1"/>
      <w:numFmt w:val="lowerLetter"/>
      <w:lvlText w:val="%8)"/>
      <w:lvlJc w:val="left"/>
      <w:pPr>
        <w:ind w:left="4023" w:hanging="420"/>
      </w:pPr>
    </w:lvl>
    <w:lvl w:ilvl="8" w:tentative="0">
      <w:start w:val="1"/>
      <w:numFmt w:val="lowerRoman"/>
      <w:lvlText w:val="%9."/>
      <w:lvlJc w:val="right"/>
      <w:pPr>
        <w:ind w:left="444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1C1"/>
    <w:rsid w:val="00000FAE"/>
    <w:rsid w:val="00015EDC"/>
    <w:rsid w:val="000A5006"/>
    <w:rsid w:val="000B2C9D"/>
    <w:rsid w:val="000C0349"/>
    <w:rsid w:val="00103511"/>
    <w:rsid w:val="001126D2"/>
    <w:rsid w:val="001153B7"/>
    <w:rsid w:val="001265C8"/>
    <w:rsid w:val="00147832"/>
    <w:rsid w:val="001C1221"/>
    <w:rsid w:val="001D38C7"/>
    <w:rsid w:val="002019FE"/>
    <w:rsid w:val="0021760A"/>
    <w:rsid w:val="00251F0D"/>
    <w:rsid w:val="00255ADB"/>
    <w:rsid w:val="00256E36"/>
    <w:rsid w:val="00286613"/>
    <w:rsid w:val="002876F7"/>
    <w:rsid w:val="00290BE4"/>
    <w:rsid w:val="002D3FAC"/>
    <w:rsid w:val="003034C6"/>
    <w:rsid w:val="0030430F"/>
    <w:rsid w:val="00315A94"/>
    <w:rsid w:val="00322654"/>
    <w:rsid w:val="003379DF"/>
    <w:rsid w:val="00340147"/>
    <w:rsid w:val="00371E6A"/>
    <w:rsid w:val="00391CC8"/>
    <w:rsid w:val="003D51D1"/>
    <w:rsid w:val="00482F56"/>
    <w:rsid w:val="00490608"/>
    <w:rsid w:val="004B2460"/>
    <w:rsid w:val="004B4938"/>
    <w:rsid w:val="004D4860"/>
    <w:rsid w:val="004F1798"/>
    <w:rsid w:val="00523943"/>
    <w:rsid w:val="00566BCF"/>
    <w:rsid w:val="005818C8"/>
    <w:rsid w:val="00584872"/>
    <w:rsid w:val="00595CE1"/>
    <w:rsid w:val="005A052A"/>
    <w:rsid w:val="005B00DB"/>
    <w:rsid w:val="00635DB8"/>
    <w:rsid w:val="0064003C"/>
    <w:rsid w:val="0067179F"/>
    <w:rsid w:val="006B2F25"/>
    <w:rsid w:val="006B4228"/>
    <w:rsid w:val="006B696A"/>
    <w:rsid w:val="006D2C51"/>
    <w:rsid w:val="006D4426"/>
    <w:rsid w:val="006E2152"/>
    <w:rsid w:val="006E2186"/>
    <w:rsid w:val="00715BF3"/>
    <w:rsid w:val="007573BB"/>
    <w:rsid w:val="007619AB"/>
    <w:rsid w:val="00762291"/>
    <w:rsid w:val="00782984"/>
    <w:rsid w:val="007D0433"/>
    <w:rsid w:val="007D2B56"/>
    <w:rsid w:val="0084353A"/>
    <w:rsid w:val="008540A3"/>
    <w:rsid w:val="008648FA"/>
    <w:rsid w:val="008E1C15"/>
    <w:rsid w:val="00907DAC"/>
    <w:rsid w:val="00963CB6"/>
    <w:rsid w:val="009C6261"/>
    <w:rsid w:val="009E00C9"/>
    <w:rsid w:val="009F79B5"/>
    <w:rsid w:val="00A165A0"/>
    <w:rsid w:val="00A25693"/>
    <w:rsid w:val="00A34C20"/>
    <w:rsid w:val="00A43D4E"/>
    <w:rsid w:val="00A81548"/>
    <w:rsid w:val="00A85563"/>
    <w:rsid w:val="00A96353"/>
    <w:rsid w:val="00AA7558"/>
    <w:rsid w:val="00AB7B48"/>
    <w:rsid w:val="00AF16B3"/>
    <w:rsid w:val="00B861C1"/>
    <w:rsid w:val="00C035C6"/>
    <w:rsid w:val="00C12251"/>
    <w:rsid w:val="00C12C37"/>
    <w:rsid w:val="00C251BF"/>
    <w:rsid w:val="00C93773"/>
    <w:rsid w:val="00C967CF"/>
    <w:rsid w:val="00CB2E0A"/>
    <w:rsid w:val="00CF2351"/>
    <w:rsid w:val="00D21551"/>
    <w:rsid w:val="00D264E7"/>
    <w:rsid w:val="00D65909"/>
    <w:rsid w:val="00D7408E"/>
    <w:rsid w:val="00D76EF0"/>
    <w:rsid w:val="00DE105B"/>
    <w:rsid w:val="00DE1CC6"/>
    <w:rsid w:val="00DE773B"/>
    <w:rsid w:val="00E510F9"/>
    <w:rsid w:val="00E64886"/>
    <w:rsid w:val="00E7031C"/>
    <w:rsid w:val="00EA2CC6"/>
    <w:rsid w:val="00EA4D99"/>
    <w:rsid w:val="00EA7601"/>
    <w:rsid w:val="00EB3D67"/>
    <w:rsid w:val="00ED751E"/>
    <w:rsid w:val="00EE5439"/>
    <w:rsid w:val="00F35370"/>
    <w:rsid w:val="00F4272E"/>
    <w:rsid w:val="00F82E91"/>
    <w:rsid w:val="00F9445D"/>
    <w:rsid w:val="00FA2F91"/>
    <w:rsid w:val="00FA6525"/>
    <w:rsid w:val="00FD6B24"/>
    <w:rsid w:val="01027E1A"/>
    <w:rsid w:val="012E4698"/>
    <w:rsid w:val="01AE5FF4"/>
    <w:rsid w:val="01C6221C"/>
    <w:rsid w:val="028A774B"/>
    <w:rsid w:val="02F2508D"/>
    <w:rsid w:val="031163A3"/>
    <w:rsid w:val="033D67B3"/>
    <w:rsid w:val="05114B8D"/>
    <w:rsid w:val="0611670C"/>
    <w:rsid w:val="06125BAA"/>
    <w:rsid w:val="06451962"/>
    <w:rsid w:val="06A26FAE"/>
    <w:rsid w:val="06C66E2F"/>
    <w:rsid w:val="06DD5A13"/>
    <w:rsid w:val="078C3DDC"/>
    <w:rsid w:val="07934B6A"/>
    <w:rsid w:val="083C504B"/>
    <w:rsid w:val="09143DB3"/>
    <w:rsid w:val="0A6543F2"/>
    <w:rsid w:val="0A7E7C4F"/>
    <w:rsid w:val="0B670D54"/>
    <w:rsid w:val="0BA93651"/>
    <w:rsid w:val="0C013B23"/>
    <w:rsid w:val="0CFF1B08"/>
    <w:rsid w:val="0D271C3B"/>
    <w:rsid w:val="0EAC756F"/>
    <w:rsid w:val="0F332F32"/>
    <w:rsid w:val="0F44201F"/>
    <w:rsid w:val="0F990423"/>
    <w:rsid w:val="0F9E393E"/>
    <w:rsid w:val="10647A58"/>
    <w:rsid w:val="108B70B9"/>
    <w:rsid w:val="10EE15A4"/>
    <w:rsid w:val="11D34773"/>
    <w:rsid w:val="11EC1CBE"/>
    <w:rsid w:val="128E03B2"/>
    <w:rsid w:val="130C46F7"/>
    <w:rsid w:val="133926E8"/>
    <w:rsid w:val="13F06BA6"/>
    <w:rsid w:val="14747F93"/>
    <w:rsid w:val="15535EFF"/>
    <w:rsid w:val="15804D01"/>
    <w:rsid w:val="172471CB"/>
    <w:rsid w:val="172D4522"/>
    <w:rsid w:val="18B078C9"/>
    <w:rsid w:val="19495CED"/>
    <w:rsid w:val="195419F3"/>
    <w:rsid w:val="1981789D"/>
    <w:rsid w:val="1BFE4259"/>
    <w:rsid w:val="1C7039D5"/>
    <w:rsid w:val="1CB3390E"/>
    <w:rsid w:val="1CCB79F0"/>
    <w:rsid w:val="1D6712E4"/>
    <w:rsid w:val="1D694919"/>
    <w:rsid w:val="1DF85EDB"/>
    <w:rsid w:val="1E080140"/>
    <w:rsid w:val="1EAB10F2"/>
    <w:rsid w:val="1EE81248"/>
    <w:rsid w:val="1F06681F"/>
    <w:rsid w:val="20875403"/>
    <w:rsid w:val="20BF0DEE"/>
    <w:rsid w:val="20DE6B04"/>
    <w:rsid w:val="21502E2C"/>
    <w:rsid w:val="2164562F"/>
    <w:rsid w:val="22761E40"/>
    <w:rsid w:val="228057DB"/>
    <w:rsid w:val="23A21413"/>
    <w:rsid w:val="23F515ED"/>
    <w:rsid w:val="245E2889"/>
    <w:rsid w:val="24A91B8F"/>
    <w:rsid w:val="24F051D1"/>
    <w:rsid w:val="252232D0"/>
    <w:rsid w:val="25C76B73"/>
    <w:rsid w:val="260B66CE"/>
    <w:rsid w:val="264B3A3A"/>
    <w:rsid w:val="26534B1E"/>
    <w:rsid w:val="2679252F"/>
    <w:rsid w:val="27306A79"/>
    <w:rsid w:val="27430C2D"/>
    <w:rsid w:val="28034665"/>
    <w:rsid w:val="280B451E"/>
    <w:rsid w:val="28A13E54"/>
    <w:rsid w:val="28FC7947"/>
    <w:rsid w:val="29BB3585"/>
    <w:rsid w:val="2A0D1A93"/>
    <w:rsid w:val="2A7A7F63"/>
    <w:rsid w:val="2AFE082D"/>
    <w:rsid w:val="2B1655A0"/>
    <w:rsid w:val="2B21098C"/>
    <w:rsid w:val="2B3018E3"/>
    <w:rsid w:val="2B7D42A7"/>
    <w:rsid w:val="2C5A2315"/>
    <w:rsid w:val="2D415D5C"/>
    <w:rsid w:val="2D421D7F"/>
    <w:rsid w:val="2F0F01DA"/>
    <w:rsid w:val="2FF61222"/>
    <w:rsid w:val="320534ED"/>
    <w:rsid w:val="32865074"/>
    <w:rsid w:val="33AA1E58"/>
    <w:rsid w:val="33BA0ABA"/>
    <w:rsid w:val="33DF2FEA"/>
    <w:rsid w:val="340A099F"/>
    <w:rsid w:val="347933A1"/>
    <w:rsid w:val="355B7189"/>
    <w:rsid w:val="363B7267"/>
    <w:rsid w:val="37354568"/>
    <w:rsid w:val="37BE0718"/>
    <w:rsid w:val="37F560CF"/>
    <w:rsid w:val="38552F08"/>
    <w:rsid w:val="38667FCA"/>
    <w:rsid w:val="38C73BBE"/>
    <w:rsid w:val="391C3482"/>
    <w:rsid w:val="3AB748F3"/>
    <w:rsid w:val="3AC0579D"/>
    <w:rsid w:val="3B391CCD"/>
    <w:rsid w:val="3BB50347"/>
    <w:rsid w:val="3CCE31E9"/>
    <w:rsid w:val="3CDB39B2"/>
    <w:rsid w:val="3D084DDE"/>
    <w:rsid w:val="3D36422F"/>
    <w:rsid w:val="3D41052E"/>
    <w:rsid w:val="3E605D12"/>
    <w:rsid w:val="3E836803"/>
    <w:rsid w:val="3F4F3A8E"/>
    <w:rsid w:val="3F914BDD"/>
    <w:rsid w:val="3FD21C1D"/>
    <w:rsid w:val="3FEE4F27"/>
    <w:rsid w:val="3FF06419"/>
    <w:rsid w:val="40304A94"/>
    <w:rsid w:val="41226C63"/>
    <w:rsid w:val="412D2C86"/>
    <w:rsid w:val="415F165C"/>
    <w:rsid w:val="416C6F3F"/>
    <w:rsid w:val="41DC2736"/>
    <w:rsid w:val="42023836"/>
    <w:rsid w:val="421D6CD7"/>
    <w:rsid w:val="424F0C98"/>
    <w:rsid w:val="42A760E4"/>
    <w:rsid w:val="42E3722E"/>
    <w:rsid w:val="43604BAC"/>
    <w:rsid w:val="44391AD3"/>
    <w:rsid w:val="447B357D"/>
    <w:rsid w:val="44B47AD1"/>
    <w:rsid w:val="44DD0850"/>
    <w:rsid w:val="456B06D8"/>
    <w:rsid w:val="45C46C8A"/>
    <w:rsid w:val="461E16BD"/>
    <w:rsid w:val="46556D9C"/>
    <w:rsid w:val="46B47D4E"/>
    <w:rsid w:val="472A539D"/>
    <w:rsid w:val="472D3797"/>
    <w:rsid w:val="475C3B6A"/>
    <w:rsid w:val="47884AAB"/>
    <w:rsid w:val="489F0366"/>
    <w:rsid w:val="48B6149E"/>
    <w:rsid w:val="491D6ABC"/>
    <w:rsid w:val="4A172E03"/>
    <w:rsid w:val="4A9101DD"/>
    <w:rsid w:val="4AC053C7"/>
    <w:rsid w:val="4AED7B5B"/>
    <w:rsid w:val="4CA62109"/>
    <w:rsid w:val="4EEE533A"/>
    <w:rsid w:val="50160553"/>
    <w:rsid w:val="50C314E6"/>
    <w:rsid w:val="51432D4F"/>
    <w:rsid w:val="522C459B"/>
    <w:rsid w:val="52903844"/>
    <w:rsid w:val="52960F49"/>
    <w:rsid w:val="52D056AB"/>
    <w:rsid w:val="53BE63C5"/>
    <w:rsid w:val="53CB4070"/>
    <w:rsid w:val="53D8092F"/>
    <w:rsid w:val="547B52C7"/>
    <w:rsid w:val="55042545"/>
    <w:rsid w:val="55775FB8"/>
    <w:rsid w:val="55C6059F"/>
    <w:rsid w:val="55E9591F"/>
    <w:rsid w:val="566E347F"/>
    <w:rsid w:val="567E383C"/>
    <w:rsid w:val="568713A4"/>
    <w:rsid w:val="572978CA"/>
    <w:rsid w:val="581B5C9C"/>
    <w:rsid w:val="582805A0"/>
    <w:rsid w:val="586B7786"/>
    <w:rsid w:val="58E10BE1"/>
    <w:rsid w:val="59194889"/>
    <w:rsid w:val="59304813"/>
    <w:rsid w:val="59BB1406"/>
    <w:rsid w:val="5A763481"/>
    <w:rsid w:val="5B1914DD"/>
    <w:rsid w:val="5B223D1D"/>
    <w:rsid w:val="5B4D6240"/>
    <w:rsid w:val="5B650353"/>
    <w:rsid w:val="5BAF6359"/>
    <w:rsid w:val="5BE416B6"/>
    <w:rsid w:val="5C5148B1"/>
    <w:rsid w:val="5C5A791B"/>
    <w:rsid w:val="5C7076DE"/>
    <w:rsid w:val="5D2A4513"/>
    <w:rsid w:val="5E1D1CEB"/>
    <w:rsid w:val="5EE427E4"/>
    <w:rsid w:val="5F9D348D"/>
    <w:rsid w:val="60073FFD"/>
    <w:rsid w:val="606460C1"/>
    <w:rsid w:val="60EE3076"/>
    <w:rsid w:val="60F86297"/>
    <w:rsid w:val="61252723"/>
    <w:rsid w:val="62B4019A"/>
    <w:rsid w:val="62D76E24"/>
    <w:rsid w:val="62D9452E"/>
    <w:rsid w:val="6334730E"/>
    <w:rsid w:val="6387753D"/>
    <w:rsid w:val="644C3048"/>
    <w:rsid w:val="6459196B"/>
    <w:rsid w:val="649332CB"/>
    <w:rsid w:val="64F05463"/>
    <w:rsid w:val="650633FC"/>
    <w:rsid w:val="656D467F"/>
    <w:rsid w:val="65B50B7E"/>
    <w:rsid w:val="65C41BC0"/>
    <w:rsid w:val="66440DFA"/>
    <w:rsid w:val="664C55A8"/>
    <w:rsid w:val="66DD1FBF"/>
    <w:rsid w:val="66DF17D6"/>
    <w:rsid w:val="67254828"/>
    <w:rsid w:val="67AB7B48"/>
    <w:rsid w:val="68174A2A"/>
    <w:rsid w:val="68E867F2"/>
    <w:rsid w:val="69A84D57"/>
    <w:rsid w:val="69BD5BCE"/>
    <w:rsid w:val="6A4133F9"/>
    <w:rsid w:val="6A4B6954"/>
    <w:rsid w:val="6A82688D"/>
    <w:rsid w:val="6ACA052E"/>
    <w:rsid w:val="6AE836D4"/>
    <w:rsid w:val="6B6E1C39"/>
    <w:rsid w:val="6BF87BCD"/>
    <w:rsid w:val="6C133B0D"/>
    <w:rsid w:val="6C216CDA"/>
    <w:rsid w:val="6C3E374C"/>
    <w:rsid w:val="6C4A4515"/>
    <w:rsid w:val="6CA75275"/>
    <w:rsid w:val="6D4E6C29"/>
    <w:rsid w:val="6DA653E9"/>
    <w:rsid w:val="6E1672A7"/>
    <w:rsid w:val="6FCC6409"/>
    <w:rsid w:val="6FD206D2"/>
    <w:rsid w:val="70596264"/>
    <w:rsid w:val="70B45005"/>
    <w:rsid w:val="70D212F3"/>
    <w:rsid w:val="715874B5"/>
    <w:rsid w:val="71710998"/>
    <w:rsid w:val="71BD7D6E"/>
    <w:rsid w:val="72616AE7"/>
    <w:rsid w:val="727E3053"/>
    <w:rsid w:val="729840F8"/>
    <w:rsid w:val="73127E3A"/>
    <w:rsid w:val="7320133F"/>
    <w:rsid w:val="7335378C"/>
    <w:rsid w:val="742151FD"/>
    <w:rsid w:val="75C64C79"/>
    <w:rsid w:val="76680B25"/>
    <w:rsid w:val="76995444"/>
    <w:rsid w:val="773D0802"/>
    <w:rsid w:val="77A1709D"/>
    <w:rsid w:val="79293987"/>
    <w:rsid w:val="79F62D2F"/>
    <w:rsid w:val="7A473012"/>
    <w:rsid w:val="7A7C6E92"/>
    <w:rsid w:val="7AB916D4"/>
    <w:rsid w:val="7ABF2F86"/>
    <w:rsid w:val="7ACD0832"/>
    <w:rsid w:val="7C5311E4"/>
    <w:rsid w:val="7CA57210"/>
    <w:rsid w:val="7CF87D05"/>
    <w:rsid w:val="7D2B0084"/>
    <w:rsid w:val="7DD46DFB"/>
    <w:rsid w:val="7F3D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unhideWhenUsed/>
    <w:qFormat/>
    <w:uiPriority w:val="99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paragraph" w:styleId="7">
    <w:name w:val="Title"/>
    <w:basedOn w:val="1"/>
    <w:next w:val="1"/>
    <w:link w:val="1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Body Text First Indent"/>
    <w:basedOn w:val="1"/>
    <w:link w:val="13"/>
    <w:qFormat/>
    <w:uiPriority w:val="99"/>
    <w:pPr>
      <w:spacing w:after="120"/>
      <w:ind w:firstLine="420" w:firstLineChars="100"/>
    </w:pPr>
    <w:rPr>
      <w:rFonts w:ascii="Calibri" w:hAnsi="Calibri"/>
      <w:kern w:val="0"/>
      <w:szCs w:val="20"/>
    </w:rPr>
  </w:style>
  <w:style w:type="character" w:customStyle="1" w:styleId="11">
    <w:name w:val="标题 Char"/>
    <w:basedOn w:val="10"/>
    <w:link w:val="7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正文文本 Char"/>
    <w:basedOn w:val="10"/>
    <w:link w:val="2"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13">
    <w:name w:val="正文首行缩进 Char"/>
    <w:basedOn w:val="12"/>
    <w:link w:val="8"/>
    <w:qFormat/>
    <w:uiPriority w:val="99"/>
    <w:rPr>
      <w:rFonts w:ascii="Calibri" w:hAnsi="Calibri" w:eastAsia="宋体" w:cs="Times New Roman"/>
      <w:kern w:val="0"/>
      <w:szCs w:val="20"/>
    </w:rPr>
  </w:style>
  <w:style w:type="character" w:customStyle="1" w:styleId="14">
    <w:name w:val="批注框文本 Char"/>
    <w:basedOn w:val="10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kern w:val="0"/>
      <w:sz w:val="18"/>
      <w:szCs w:val="20"/>
    </w:rPr>
  </w:style>
  <w:style w:type="character" w:customStyle="1" w:styleId="16">
    <w:name w:val="页眉 Char"/>
    <w:basedOn w:val="10"/>
    <w:link w:val="6"/>
    <w:qFormat/>
    <w:uiPriority w:val="99"/>
    <w:rPr>
      <w:rFonts w:ascii="Calibri" w:hAnsi="Calibri" w:eastAsia="宋体" w:cs="Times New Roman"/>
      <w:kern w:val="0"/>
      <w:sz w:val="18"/>
      <w:szCs w:val="20"/>
    </w:rPr>
  </w:style>
  <w:style w:type="character" w:customStyle="1" w:styleId="17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9">
    <w:name w:val="列表 41"/>
    <w:basedOn w:val="1"/>
    <w:qFormat/>
    <w:uiPriority w:val="99"/>
    <w:pPr>
      <w:ind w:left="100" w:leftChars="200" w:hanging="200" w:hangingChars="200"/>
    </w:p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font3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15.xml"/><Relationship Id="rId21" Type="http://schemas.openxmlformats.org/officeDocument/2006/relationships/chart" Target="charts/chart14.xml"/><Relationship Id="rId20" Type="http://schemas.openxmlformats.org/officeDocument/2006/relationships/chart" Target="charts/chart13.xml"/><Relationship Id="rId2" Type="http://schemas.openxmlformats.org/officeDocument/2006/relationships/settings" Target="settings.xml"/><Relationship Id="rId19" Type="http://schemas.openxmlformats.org/officeDocument/2006/relationships/chart" Target="charts/chart12.xml"/><Relationship Id="rId18" Type="http://schemas.openxmlformats.org/officeDocument/2006/relationships/chart" Target="charts/chart11.xml"/><Relationship Id="rId17" Type="http://schemas.openxmlformats.org/officeDocument/2006/relationships/chart" Target="charts/chart10.xml"/><Relationship Id="rId16" Type="http://schemas.openxmlformats.org/officeDocument/2006/relationships/chart" Target="charts/chart9.xml"/><Relationship Id="rId15" Type="http://schemas.openxmlformats.org/officeDocument/2006/relationships/chart" Target="charts/chart8.xml"/><Relationship Id="rId14" Type="http://schemas.openxmlformats.org/officeDocument/2006/relationships/chart" Target="charts/chart7.xml"/><Relationship Id="rId13" Type="http://schemas.openxmlformats.org/officeDocument/2006/relationships/chart" Target="charts/chart6.xml"/><Relationship Id="rId12" Type="http://schemas.openxmlformats.org/officeDocument/2006/relationships/chart" Target="charts/chart5.xml"/><Relationship Id="rId11" Type="http://schemas.openxmlformats.org/officeDocument/2006/relationships/chart" Target="charts/chart4.xml"/><Relationship Id="rId10" Type="http://schemas.openxmlformats.org/officeDocument/2006/relationships/chart" Target="charts/chart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8.bin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3.bin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1.bin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9.bin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4.bin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5.bin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0.bin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2.bin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7.bin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3.bin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5.bin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4.bin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2.bin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6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778205325534862"/>
          <c:y val="0.065081351689612"/>
          <c:w val="0.883238417731261"/>
          <c:h val="0.638110137672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资费</c:v>
                </c:pt>
                <c:pt idx="1">
                  <c:v>营销</c:v>
                </c:pt>
                <c:pt idx="2">
                  <c:v>网络</c:v>
                </c:pt>
                <c:pt idx="3">
                  <c:v>服务</c:v>
                </c:pt>
                <c:pt idx="4">
                  <c:v>收费</c:v>
                </c:pt>
                <c:pt idx="5">
                  <c:v>安全</c:v>
                </c:pt>
                <c:pt idx="6">
                  <c:v>其他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42</c:v>
                </c:pt>
                <c:pt idx="1">
                  <c:v>34</c:v>
                </c:pt>
                <c:pt idx="2">
                  <c:v>61</c:v>
                </c:pt>
                <c:pt idx="3">
                  <c:v>194</c:v>
                </c:pt>
                <c:pt idx="4">
                  <c:v>55</c:v>
                </c:pt>
                <c:pt idx="5">
                  <c:v>11</c:v>
                </c:pt>
                <c:pt idx="6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10月份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资费</c:v>
                </c:pt>
                <c:pt idx="1">
                  <c:v>营销</c:v>
                </c:pt>
                <c:pt idx="2">
                  <c:v>网络</c:v>
                </c:pt>
                <c:pt idx="3">
                  <c:v>服务</c:v>
                </c:pt>
                <c:pt idx="4">
                  <c:v>收费</c:v>
                </c:pt>
                <c:pt idx="5">
                  <c:v>安全</c:v>
                </c:pt>
                <c:pt idx="6">
                  <c:v>其他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22</c:v>
                </c:pt>
                <c:pt idx="1">
                  <c:v>13</c:v>
                </c:pt>
                <c:pt idx="2">
                  <c:v>44</c:v>
                </c:pt>
                <c:pt idx="3">
                  <c:v>112</c:v>
                </c:pt>
                <c:pt idx="4">
                  <c:v>28</c:v>
                </c:pt>
                <c:pt idx="5">
                  <c:v>5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57413888"/>
        <c:axId val="257415424"/>
      </c:barChart>
      <c:catAx>
        <c:axId val="257413888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57415424"/>
        <c:crosses val="autoZero"/>
        <c:auto val="1"/>
        <c:lblAlgn val="ctr"/>
        <c:lblOffset val="100"/>
        <c:noMultiLvlLbl val="0"/>
      </c:catAx>
      <c:valAx>
        <c:axId val="25741542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57413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Lbls>
            <c:dLbl>
              <c:idx val="0"/>
              <c:layout>
                <c:manualLayout>
                  <c:x val="0.121662635307841"/>
                  <c:y val="0.003174540682414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116119393234913"/>
                  <c:y val="0.12176419817771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987361547126877"/>
                  <c:y val="0.23181058617672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108827330686228"/>
                  <c:y val="-0.1136623874288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148620245998662"/>
                  <c:y val="0.18347287839020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0.14289285734708"/>
                  <c:y val="0.00026727909011373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Sheet1!$A$2:$A$8</c:f>
              <c:strCache>
                <c:ptCount val="7"/>
                <c:pt idx="0">
                  <c:v>资费</c:v>
                </c:pt>
                <c:pt idx="1">
                  <c:v>营销</c:v>
                </c:pt>
                <c:pt idx="2">
                  <c:v>网络</c:v>
                </c:pt>
                <c:pt idx="3">
                  <c:v>服务</c:v>
                </c:pt>
                <c:pt idx="4">
                  <c:v>收费</c:v>
                </c:pt>
                <c:pt idx="5">
                  <c:v>安全</c:v>
                </c:pt>
                <c:pt idx="6">
                  <c:v>其他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42</c:v>
                </c:pt>
                <c:pt idx="1">
                  <c:v>34</c:v>
                </c:pt>
                <c:pt idx="2">
                  <c:v>61</c:v>
                </c:pt>
                <c:pt idx="3">
                  <c:v>194</c:v>
                </c:pt>
                <c:pt idx="4">
                  <c:v>55</c:v>
                </c:pt>
                <c:pt idx="5">
                  <c:v>11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160</c:v>
                </c:pt>
                <c:pt idx="1">
                  <c:v>133</c:v>
                </c:pt>
                <c:pt idx="2">
                  <c:v>104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10月份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104</c:v>
                </c:pt>
                <c:pt idx="1">
                  <c:v>91</c:v>
                </c:pt>
                <c:pt idx="2">
                  <c:v>29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93312000"/>
        <c:axId val="293313536"/>
      </c:barChart>
      <c:catAx>
        <c:axId val="2933120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3313536"/>
        <c:crosses val="autoZero"/>
        <c:auto val="1"/>
        <c:lblAlgn val="ctr"/>
        <c:lblOffset val="100"/>
        <c:noMultiLvlLbl val="0"/>
      </c:catAx>
      <c:valAx>
        <c:axId val="29331353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3312000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356768883157943"/>
                  <c:y val="0.03211905538444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659128419758341"/>
                  <c:y val="0.0248749055213786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18846411804158"/>
                      <c:h val="0.167079207920792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-0.0644052966169985"/>
                  <c:y val="0.037124074660946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160</c:v>
                </c:pt>
                <c:pt idx="1">
                  <c:v>133</c:v>
                </c:pt>
                <c:pt idx="2">
                  <c:v>104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25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10月份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13</c:v>
                </c:pt>
                <c:pt idx="1">
                  <c:v>6</c:v>
                </c:pt>
                <c:pt idx="2">
                  <c:v>3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92432128"/>
        <c:axId val="292442112"/>
      </c:barChart>
      <c:catAx>
        <c:axId val="29243212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2442112"/>
        <c:crosses val="autoZero"/>
        <c:auto val="1"/>
        <c:lblAlgn val="ctr"/>
        <c:lblOffset val="100"/>
        <c:noMultiLvlLbl val="0"/>
      </c:catAx>
      <c:valAx>
        <c:axId val="29244211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2432128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495375698432591"/>
                  <c:y val="-0.058295994734404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500583026222268"/>
                  <c:y val="-0.0782741816451875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225488354277675"/>
                  <c:y val="3.40992314701908e-1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25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14</c:v>
                </c:pt>
                <c:pt idx="2">
                  <c:v>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10月份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4</c:v>
                </c:pt>
                <c:pt idx="1">
                  <c:v>9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92883456"/>
        <c:axId val="292918016"/>
      </c:barChart>
      <c:catAx>
        <c:axId val="29288345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2918016"/>
        <c:crosses val="autoZero"/>
        <c:auto val="1"/>
        <c:lblAlgn val="ctr"/>
        <c:lblOffset val="100"/>
        <c:noMultiLvlLbl val="0"/>
      </c:catAx>
      <c:valAx>
        <c:axId val="29291801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2883456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16102564102565"/>
          <c:y val="0.110949859856742"/>
          <c:w val="0.367794871794875"/>
          <c:h val="0.75941451261289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115902661488581"/>
                  <c:y val="0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0011282526335844"/>
                  <c:y val="-0.055441952771612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562783567897977"/>
                  <c:y val="0.053380255366420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14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33</c:v>
                </c:pt>
                <c:pt idx="2">
                  <c:v>16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10月份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8</c:v>
                </c:pt>
                <c:pt idx="1">
                  <c:v>26</c:v>
                </c:pt>
                <c:pt idx="2">
                  <c:v>10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92831232"/>
        <c:axId val="292832768"/>
      </c:barChart>
      <c:catAx>
        <c:axId val="292831232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2832768"/>
        <c:crosses val="autoZero"/>
        <c:auto val="1"/>
        <c:lblAlgn val="ctr"/>
        <c:lblOffset val="100"/>
        <c:noMultiLvlLbl val="0"/>
      </c:catAx>
      <c:valAx>
        <c:axId val="29283276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2831232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495375698432591"/>
                  <c:y val="-0.058295994734404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0367120051051896"/>
                  <c:y val="-0.26130142562873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839072918199382"/>
                  <c:y val="0.0778178442634564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33</c:v>
                </c:pt>
                <c:pt idx="2">
                  <c:v>16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88</c:v>
                </c:pt>
                <c:pt idx="1">
                  <c:v>39</c:v>
                </c:pt>
                <c:pt idx="2">
                  <c:v>67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10月份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65</c:v>
                </c:pt>
                <c:pt idx="1">
                  <c:v>37</c:v>
                </c:pt>
                <c:pt idx="2">
                  <c:v>10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92971648"/>
        <c:axId val="292973184"/>
      </c:barChart>
      <c:catAx>
        <c:axId val="29297164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2973184"/>
        <c:crosses val="autoZero"/>
        <c:auto val="1"/>
        <c:lblAlgn val="ctr"/>
        <c:lblOffset val="100"/>
        <c:noMultiLvlLbl val="0"/>
      </c:catAx>
      <c:valAx>
        <c:axId val="29297318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2971648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475957495604312"/>
                  <c:y val="0.033898995384197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511136386330923"/>
                  <c:y val="-0.0772986069049064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17952293408258"/>
                  <c:y val="0.045036654900896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88</c:v>
                </c:pt>
                <c:pt idx="1">
                  <c:v>39</c:v>
                </c:pt>
                <c:pt idx="2">
                  <c:v>67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30</c:v>
                </c:pt>
                <c:pt idx="1">
                  <c:v>19</c:v>
                </c:pt>
                <c:pt idx="2">
                  <c:v>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10月份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12</c:v>
                </c:pt>
                <c:pt idx="1">
                  <c:v>12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93189504"/>
        <c:axId val="293191040"/>
      </c:barChart>
      <c:catAx>
        <c:axId val="29318950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3191040"/>
        <c:crosses val="autoZero"/>
        <c:auto val="1"/>
        <c:lblAlgn val="ctr"/>
        <c:lblOffset val="100"/>
        <c:noMultiLvlLbl val="0"/>
      </c:catAx>
      <c:valAx>
        <c:axId val="29319104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3189504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825472785811232"/>
                  <c:y val="0.038661832165850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935897844230145"/>
                  <c:y val="-0.048152063183882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23694087126876"/>
                  <c:y val="0.041689031383350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30</c:v>
                </c:pt>
                <c:pt idx="1">
                  <c:v>19</c:v>
                </c:pt>
                <c:pt idx="2">
                  <c:v>6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11月份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6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10月份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2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93071488"/>
        <c:axId val="293073280"/>
      </c:barChart>
      <c:catAx>
        <c:axId val="29307148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3073280"/>
        <c:crosses val="autoZero"/>
        <c:auto val="1"/>
        <c:lblAlgn val="ctr"/>
        <c:lblOffset val="100"/>
        <c:noMultiLvlLbl val="0"/>
      </c:catAx>
      <c:valAx>
        <c:axId val="29307328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93071488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F868B9-EFFC-4B01-BC20-10895A61B1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19</Pages>
  <Words>806</Words>
  <Characters>4597</Characters>
  <Lines>38</Lines>
  <Paragraphs>10</Paragraphs>
  <TotalTime>186</TotalTime>
  <ScaleCrop>false</ScaleCrop>
  <LinksUpToDate>false</LinksUpToDate>
  <CharactersWithSpaces>5393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2020-09-11T08:09:00Z</dcterms:created>
  <dc:creator>微软中国</dc:creator>
  <cp:lastModifiedBy>熙雯爱睿宝</cp:lastModifiedBy>
  <cp:lastPrinted>2020-11-12T07:36:00Z</cp:lastPrinted>
  <dcterms:modified xsi:type="dcterms:W3CDTF">2020-12-14T08:11:15Z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