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rPr>
          <w:w w:val="50"/>
        </w:rPr>
      </w:pPr>
      <w:r>
        <w:rPr>
          <w:w w:val="50"/>
        </w:rPr>
        <w:pict>
          <v:shape id="_x0000_i1025" o:spt="136" type="#_x0000_t136" style="height:54pt;width:227.25pt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湖北省通信行业协会" style="font-family:宋体;font-size:28pt;v-text-align:center;"/>
            <w10:wrap type="none"/>
            <w10:anchorlock/>
          </v:shape>
        </w:pict>
      </w:r>
      <w:r>
        <w:rPr>
          <w:w w:val="50"/>
        </w:rPr>
        <w:pict>
          <v:shape id="_x0000_i1026" o:spt="136" type="#_x0000_t136" style="height:50.25pt;width:129.75pt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电 信 用 户&#10;申诉受理中心" style="font-family:宋体;font-size:36pt;v-text-align:center;"/>
            <w10:wrap type="none"/>
            <w10:anchorlock/>
          </v:shape>
        </w:pict>
      </w:r>
      <w:r>
        <w:rPr>
          <w:rFonts w:eastAsia="Times New Roman"/>
          <w:w w:val="50"/>
        </w:rPr>
        <w:pict>
          <v:shape id="_x0000_i1027" o:spt="136" type="#_x0000_t136" style="height:53.25pt;width:45.75pt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文件" style="font-family:宋体;font-size:28pt;v-text-align:center;"/>
            <w10:wrap type="none"/>
            <w10:anchorlock/>
          </v:shape>
        </w:pict>
      </w:r>
    </w:p>
    <w:p>
      <w:pPr>
        <w:tabs>
          <w:tab w:val="left" w:pos="6525"/>
        </w:tabs>
        <w:spacing w:line="300" w:lineRule="exact"/>
        <w:rPr>
          <w:color w:val="FF0000"/>
          <w:u w:val="single"/>
        </w:rPr>
      </w:pPr>
    </w:p>
    <w:p>
      <w:pPr>
        <w:tabs>
          <w:tab w:val="left" w:pos="6525"/>
        </w:tabs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鄂电申〔</w:t>
      </w:r>
      <w:r>
        <w:rPr>
          <w:rFonts w:ascii="仿宋_GB2312" w:hAnsi="仿宋_GB2312" w:eastAsia="仿宋_GB2312" w:cs="仿宋_GB2312"/>
          <w:sz w:val="30"/>
          <w:szCs w:val="30"/>
        </w:rPr>
        <w:t>20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0"/>
          <w:szCs w:val="30"/>
        </w:rPr>
        <w:t>〕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0"/>
          <w:szCs w:val="30"/>
        </w:rPr>
        <w:t>号</w:t>
      </w:r>
    </w:p>
    <w:p>
      <w:pPr>
        <w:spacing w:line="300" w:lineRule="exact"/>
        <w:rPr>
          <w:color w:val="FF0000"/>
          <w:u w:val="single"/>
        </w:rPr>
      </w:pPr>
    </w:p>
    <w:p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79375</wp:posOffset>
                </wp:positionH>
                <wp:positionV relativeFrom="paragraph">
                  <wp:posOffset>40640</wp:posOffset>
                </wp:positionV>
                <wp:extent cx="5495925" cy="38100"/>
                <wp:effectExtent l="0" t="4445" r="9525" b="14605"/>
                <wp:wrapNone/>
                <wp:docPr id="3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979805" y="2801620"/>
                          <a:ext cx="5495925" cy="381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" o:spid="_x0000_s1026" o:spt="20" style="position:absolute;left:0pt;flip:y;margin-left:6.25pt;margin-top:3.2pt;height:3pt;width:432.75pt;z-index:251660288;mso-width-relative:page;mso-height-relative:page;" filled="f" stroked="t" coordsize="21600,21600" o:gfxdata="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7wcOn1gAAAAcBAAAPAAAAAAAA&#10;AAEAIAAAACIAAABkcnMvZG93bnJldi54bWxQSwECFAAUAAAACACHTuJAC4+pztsBAABzAwAADgAA&#10;AAAAAAABACAAAAAlAQAAZHJzL2Uyb0RvYy54bWxQSwUGAAAAAAYABgBZAQAAcgUAAAAA&#10;">
                <v:fill on="f" focussize="0,0"/>
                <v:stroke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360" w:lineRule="auto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关于</w:t>
      </w:r>
      <w:r>
        <w:rPr>
          <w:rFonts w:ascii="方正小标宋简体" w:eastAsia="方正小标宋简体"/>
          <w:sz w:val="44"/>
          <w:szCs w:val="44"/>
        </w:rPr>
        <w:t>20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二</w:t>
      </w:r>
      <w:r>
        <w:rPr>
          <w:rFonts w:hint="eastAsia" w:ascii="方正小标宋简体" w:eastAsia="方正小标宋简体"/>
          <w:sz w:val="44"/>
          <w:szCs w:val="44"/>
        </w:rPr>
        <w:t>季度湖北全省电信</w:t>
      </w:r>
    </w:p>
    <w:p>
      <w:pPr>
        <w:spacing w:line="360" w:lineRule="auto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44"/>
          <w:szCs w:val="44"/>
        </w:rPr>
        <w:t>用户申诉受理情况的通报</w:t>
      </w:r>
    </w:p>
    <w:bookmarkEnd w:id="0"/>
    <w:p>
      <w:pPr>
        <w:spacing w:line="360" w:lineRule="auto"/>
        <w:jc w:val="left"/>
        <w:rPr>
          <w:rFonts w:ascii="方正小标宋简体" w:eastAsia="方正小标宋简体"/>
          <w:sz w:val="32"/>
        </w:rPr>
      </w:pPr>
    </w:p>
    <w:p>
      <w:pPr>
        <w:ind w:firstLine="640" w:firstLineChars="200"/>
        <w:jc w:val="left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一、电信用户申诉总体情况统计分析</w:t>
      </w:r>
    </w:p>
    <w:p>
      <w:pPr>
        <w:ind w:firstLine="640" w:firstLineChars="200"/>
        <w:jc w:val="left"/>
        <w:rPr>
          <w:rFonts w:hint="default" w:asci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</w:rPr>
        <w:t>2020年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2季度湖北省电信用户申诉受理中心共接到电信用户提交材料 （以下简称申告来量）606</w:t>
      </w:r>
      <w:r>
        <w:rPr>
          <w:rFonts w:hint="eastAsia" w:ascii="仿宋_GB2312" w:eastAsia="仿宋_GB2312" w:cs="仿宋_GB2312"/>
          <w:sz w:val="32"/>
          <w:szCs w:val="32"/>
        </w:rPr>
        <w:t>人次，与上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季度337</w:t>
      </w:r>
      <w:r>
        <w:rPr>
          <w:rFonts w:hint="eastAsia" w:ascii="仿宋_GB2312" w:eastAsia="仿宋_GB2312" w:cs="仿宋_GB2312"/>
          <w:sz w:val="32"/>
          <w:szCs w:val="32"/>
        </w:rPr>
        <w:t>人次相比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上升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79.82</w:t>
      </w:r>
      <w:r>
        <w:rPr>
          <w:rFonts w:hint="eastAsia" w:ascii="仿宋_GB2312" w:eastAsia="仿宋_GB2312" w:cs="仿宋_GB2312"/>
          <w:sz w:val="32"/>
          <w:szCs w:val="32"/>
        </w:rPr>
        <w:t>个百分点，与去年同期的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646</w:t>
      </w:r>
      <w:r>
        <w:rPr>
          <w:rFonts w:hint="eastAsia" w:ascii="仿宋_GB2312" w:eastAsia="仿宋_GB2312" w:cs="仿宋_GB2312"/>
          <w:sz w:val="32"/>
          <w:szCs w:val="32"/>
        </w:rPr>
        <w:t>人次相比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下降了6.19</w:t>
      </w:r>
      <w:r>
        <w:rPr>
          <w:rFonts w:hint="eastAsia" w:ascii="仿宋_GB2312" w:eastAsia="仿宋_GB2312" w:cs="仿宋_GB2312"/>
          <w:sz w:val="32"/>
          <w:szCs w:val="32"/>
        </w:rPr>
        <w:t>个百分点。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其中符合规定申诉条件的用户申诉（以下简称“有效申诉”含省内12300受理携号转网）61人次，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环比上升了60.53个百分点。</w:t>
      </w:r>
    </w:p>
    <w:p>
      <w:pPr>
        <w:pStyle w:val="8"/>
        <w:spacing w:line="240" w:lineRule="atLeast"/>
        <w:ind w:firstLine="640" w:firstLineChars="200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sz w:val="32"/>
          <w:szCs w:val="32"/>
        </w:rPr>
        <w:t>本季度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从业务分类占比统计来看，服务类占比最大，占申诉总量的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47.03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个百分点，其次为收费类和资费类，分别占申诉总量的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16.83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和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14.69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个百分点，网络类占申诉总量的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11.55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个百分点，营销类占申诉总量的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8.09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个百分点，安全类占申诉总量的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1.82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个百分点。</w:t>
      </w:r>
    </w:p>
    <w:p>
      <w:pPr>
        <w:spacing w:line="360" w:lineRule="auto"/>
        <w:jc w:val="center"/>
        <w:rPr>
          <w:rFonts w:ascii="仿宋_GB2312" w:hAnsi="宋体" w:eastAsia="仿宋_GB2312"/>
          <w:b/>
          <w:sz w:val="32"/>
        </w:rPr>
      </w:pPr>
    </w:p>
    <w:p>
      <w:pPr>
        <w:spacing w:line="360" w:lineRule="auto"/>
        <w:jc w:val="center"/>
        <w:rPr>
          <w:rFonts w:ascii="仿宋_GB2312" w:hAnsi="宋体" w:eastAsia="仿宋_GB2312" w:cs="仿宋_GB2312"/>
          <w:b/>
          <w:sz w:val="32"/>
          <w:szCs w:val="32"/>
          <w:lang w:val="zh-CN"/>
        </w:rPr>
      </w:pPr>
      <w:r>
        <w:rPr>
          <w:rFonts w:hint="eastAsia" w:ascii="仿宋_GB2312" w:hAnsi="宋体" w:eastAsia="仿宋_GB2312"/>
          <w:b/>
          <w:sz w:val="32"/>
        </w:rPr>
        <w:t>全省总申诉量分类统计表</w:t>
      </w:r>
    </w:p>
    <w:tbl>
      <w:tblPr>
        <w:tblStyle w:val="9"/>
        <w:tblW w:w="7470" w:type="dxa"/>
        <w:tblInd w:w="63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605"/>
        <w:gridCol w:w="1680"/>
        <w:gridCol w:w="1425"/>
        <w:gridCol w:w="16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2020年2季度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2020年1季度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宋体" w:asciiTheme="majorEastAsia" w:hAnsiTheme="majorEastAsia" w:eastAsiaTheme="majorEastAsia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本季度占比</w:t>
            </w:r>
            <w:r>
              <w:rPr>
                <w:rStyle w:val="21"/>
                <w:lang w:val="en-US" w:eastAsia="zh-CN" w:bidi="ar"/>
              </w:rPr>
              <w:t>%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宋体" w:asciiTheme="majorEastAsia" w:hAnsiTheme="majorEastAsia" w:eastAsiaTheme="majorEastAsia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</w:t>
            </w:r>
            <w:r>
              <w:rPr>
                <w:rStyle w:val="21"/>
                <w:lang w:val="en-US" w:eastAsia="zh-CN" w:bidi="ar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1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资费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14.69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53.45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1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营销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8.09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网络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11.55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45.83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1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服务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47.03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117.56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1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收费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16.83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1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安全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1.82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1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其他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1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合计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606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79.82</w:t>
            </w:r>
          </w:p>
        </w:tc>
      </w:tr>
    </w:tbl>
    <w:p>
      <w:pPr>
        <w:spacing w:line="360" w:lineRule="auto"/>
        <w:jc w:val="center"/>
        <w:rPr>
          <w:rFonts w:hint="eastAsia" w:ascii="仿宋_GB2312" w:eastAsia="仿宋_GB2312"/>
          <w:b/>
          <w:sz w:val="32"/>
        </w:rPr>
      </w:pPr>
    </w:p>
    <w:p>
      <w:pPr>
        <w:spacing w:line="360" w:lineRule="auto"/>
        <w:jc w:val="center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全省总申诉量分类对比图</w:t>
      </w:r>
    </w:p>
    <w:p>
      <w:pPr>
        <w:jc w:val="center"/>
      </w:pPr>
      <w:r>
        <w:drawing>
          <wp:inline distT="0" distB="0" distL="0" distR="0">
            <wp:extent cx="4400550" cy="2247900"/>
            <wp:effectExtent l="4445" t="4445" r="14605" b="14605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spacing w:line="360" w:lineRule="auto"/>
        <w:jc w:val="center"/>
        <w:rPr>
          <w:rFonts w:ascii="仿宋_GB2312" w:eastAsia="仿宋_GB2312"/>
          <w:b/>
          <w:sz w:val="32"/>
        </w:rPr>
      </w:pPr>
    </w:p>
    <w:p>
      <w:pPr>
        <w:spacing w:line="360" w:lineRule="auto"/>
        <w:jc w:val="center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本季度申诉量分类占比图</w:t>
      </w:r>
    </w:p>
    <w:p>
      <w:pPr>
        <w:jc w:val="center"/>
      </w:pPr>
      <w:r>
        <w:drawing>
          <wp:inline distT="0" distB="0" distL="0" distR="0">
            <wp:extent cx="4305300" cy="2057400"/>
            <wp:effectExtent l="4445" t="4445" r="14605" b="1460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8"/>
        <w:spacing w:line="360" w:lineRule="auto"/>
        <w:ind w:firstLine="640" w:firstLineChars="200"/>
        <w:rPr>
          <w:rFonts w:ascii="黑体" w:eastAsia="黑体"/>
          <w:sz w:val="32"/>
          <w:szCs w:val="32"/>
          <w:lang w:val="zh-CN"/>
        </w:rPr>
      </w:pPr>
      <w:r>
        <w:rPr>
          <w:rFonts w:hint="eastAsia" w:ascii="黑体" w:eastAsia="黑体" w:cs="仿宋_GB2312"/>
          <w:sz w:val="32"/>
          <w:szCs w:val="32"/>
          <w:lang w:val="zh-CN"/>
        </w:rPr>
        <w:t>二、各电信运营企业被申诉总量统计分析</w:t>
      </w:r>
    </w:p>
    <w:p>
      <w:pPr>
        <w:pStyle w:val="8"/>
        <w:spacing w:line="360" w:lineRule="auto"/>
        <w:ind w:firstLine="640" w:firstLineChars="200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sz w:val="32"/>
          <w:szCs w:val="32"/>
          <w:lang w:val="zh-CN"/>
        </w:rPr>
        <w:t>如下图表所示，本季度环比各公司均呈上升趋势。本季度电信公司申诉量占比较大。</w:t>
      </w:r>
    </w:p>
    <w:p>
      <w:pPr>
        <w:spacing w:line="360" w:lineRule="auto"/>
        <w:jc w:val="center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各电信运营企业被申诉量对比统计表</w:t>
      </w:r>
    </w:p>
    <w:tbl>
      <w:tblPr>
        <w:tblStyle w:val="9"/>
        <w:tblW w:w="7663" w:type="dxa"/>
        <w:tblInd w:w="7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1661"/>
        <w:gridCol w:w="1661"/>
        <w:gridCol w:w="1661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6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2020年2季度</w:t>
            </w:r>
          </w:p>
        </w:tc>
        <w:tc>
          <w:tcPr>
            <w:tcW w:w="16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2020年1季度</w:t>
            </w:r>
          </w:p>
        </w:tc>
        <w:tc>
          <w:tcPr>
            <w:tcW w:w="16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本季度占比%</w:t>
            </w:r>
          </w:p>
        </w:tc>
        <w:tc>
          <w:tcPr>
            <w:tcW w:w="16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0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299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49.34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137.30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0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38.12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46.20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0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12.54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43.40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0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606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337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79.82</w:t>
            </w:r>
          </w:p>
        </w:tc>
      </w:tr>
    </w:tbl>
    <w:p>
      <w:pPr>
        <w:pStyle w:val="8"/>
        <w:spacing w:line="360" w:lineRule="auto"/>
        <w:ind w:firstLine="271" w:firstLineChars="150"/>
        <w:jc w:val="center"/>
        <w:rPr>
          <w:rFonts w:ascii="仿宋_GB2312" w:hAnsi="Times New Roman" w:eastAsia="仿宋_GB2312"/>
          <w:b/>
          <w:sz w:val="18"/>
          <w:szCs w:val="18"/>
          <w:lang w:val="zh-CN"/>
        </w:rPr>
      </w:pPr>
    </w:p>
    <w:p>
      <w:pPr>
        <w:pStyle w:val="8"/>
        <w:spacing w:line="360" w:lineRule="auto"/>
        <w:ind w:firstLine="482" w:firstLineChars="150"/>
        <w:jc w:val="center"/>
        <w:rPr>
          <w:rFonts w:ascii="仿宋_GB2312" w:hAnsi="Times New Roman" w:eastAsia="仿宋_GB2312"/>
          <w:b/>
          <w:sz w:val="32"/>
          <w:lang w:val="zh-CN"/>
        </w:rPr>
      </w:pPr>
      <w:r>
        <w:rPr>
          <w:rFonts w:hint="eastAsia" w:ascii="仿宋_GB2312" w:hAnsi="Times New Roman" w:eastAsia="仿宋_GB2312"/>
          <w:b/>
          <w:sz w:val="32"/>
          <w:lang w:val="zh-CN"/>
        </w:rPr>
        <w:t>各电信运营企业被申诉量对比图</w:t>
      </w:r>
    </w:p>
    <w:p>
      <w:pPr>
        <w:pStyle w:val="8"/>
        <w:spacing w:line="360" w:lineRule="auto"/>
        <w:ind w:firstLine="480" w:firstLineChars="150"/>
        <w:jc w:val="center"/>
        <w:rPr>
          <w:rFonts w:ascii="楷体_GB2312" w:eastAsia="楷体_GB2312" w:cs="仿宋_GB2312"/>
          <w:sz w:val="32"/>
          <w:szCs w:val="32"/>
          <w:lang w:val="zh-CN"/>
        </w:rPr>
      </w:pPr>
      <w:r>
        <w:rPr>
          <w:rFonts w:ascii="楷体_GB2312" w:eastAsia="楷体_GB2312" w:cs="仿宋_GB2312"/>
          <w:sz w:val="32"/>
          <w:szCs w:val="32"/>
        </w:rPr>
        <w:drawing>
          <wp:inline distT="0" distB="0" distL="0" distR="0">
            <wp:extent cx="4296410" cy="1809750"/>
            <wp:effectExtent l="4445" t="4445" r="23495" b="14605"/>
            <wp:docPr id="4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>
      <w:pPr>
        <w:pStyle w:val="8"/>
        <w:spacing w:line="360" w:lineRule="auto"/>
        <w:ind w:firstLine="1446" w:firstLineChars="600"/>
        <w:rPr>
          <w:rFonts w:hint="eastAsia" w:ascii="仿宋_GB2312" w:hAnsi="Times New Roman" w:eastAsia="仿宋_GB2312"/>
          <w:b/>
          <w:sz w:val="24"/>
          <w:szCs w:val="24"/>
        </w:rPr>
      </w:pPr>
    </w:p>
    <w:p>
      <w:pPr>
        <w:pStyle w:val="8"/>
        <w:spacing w:line="360" w:lineRule="auto"/>
        <w:ind w:firstLine="1928" w:firstLineChars="600"/>
        <w:rPr>
          <w:rFonts w:ascii="楷体_GB2312" w:eastAsia="楷体_GB2312" w:cs="仿宋_GB2312"/>
          <w:sz w:val="32"/>
          <w:szCs w:val="32"/>
          <w:lang w:val="zh-CN"/>
        </w:rPr>
      </w:pPr>
      <w:r>
        <w:rPr>
          <w:rFonts w:hint="eastAsia" w:ascii="仿宋_GB2312" w:hAnsi="Times New Roman" w:eastAsia="仿宋_GB2312"/>
          <w:b/>
          <w:sz w:val="32"/>
        </w:rPr>
        <w:t>本季度</w:t>
      </w:r>
      <w:r>
        <w:rPr>
          <w:rFonts w:hint="eastAsia" w:ascii="仿宋_GB2312" w:hAnsi="Times New Roman" w:eastAsia="仿宋_GB2312"/>
          <w:b/>
          <w:sz w:val="32"/>
          <w:lang w:val="zh-CN"/>
        </w:rPr>
        <w:t>各电信运营企业被申诉量占比图</w:t>
      </w:r>
    </w:p>
    <w:p>
      <w:pPr>
        <w:jc w:val="center"/>
      </w:pPr>
      <w:r>
        <w:drawing>
          <wp:inline distT="0" distB="0" distL="0" distR="0">
            <wp:extent cx="4097020" cy="1885950"/>
            <wp:effectExtent l="5080" t="4445" r="12700" b="14605"/>
            <wp:docPr id="5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>
      <w:pPr>
        <w:numPr>
          <w:ilvl w:val="0"/>
          <w:numId w:val="1"/>
        </w:numPr>
        <w:ind w:firstLine="640" w:firstLineChars="200"/>
        <w:jc w:val="both"/>
        <w:rPr>
          <w:rFonts w:hint="eastAsia" w:ascii="黑体" w:eastAsia="黑体" w:cs="仿宋_GB2312"/>
          <w:sz w:val="32"/>
          <w:szCs w:val="32"/>
          <w:lang w:val="zh-CN"/>
        </w:rPr>
      </w:pPr>
      <w:r>
        <w:rPr>
          <w:rFonts w:hint="eastAsia" w:ascii="黑体" w:eastAsia="黑体" w:cs="仿宋_GB2312"/>
          <w:sz w:val="32"/>
          <w:szCs w:val="32"/>
          <w:lang w:val="zh-CN"/>
        </w:rPr>
        <w:t>各电信运营企业有效申诉量统计分析</w:t>
      </w:r>
    </w:p>
    <w:p>
      <w:pPr>
        <w:pStyle w:val="8"/>
        <w:spacing w:line="360" w:lineRule="auto"/>
        <w:ind w:firstLine="640" w:firstLineChars="200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sz w:val="32"/>
          <w:szCs w:val="32"/>
          <w:lang w:val="zh-CN"/>
        </w:rPr>
        <w:t>如下图表所示，本季度环比各公司有效申诉除联通公司呈下降趋势外，电信和移动均呈上升趋势。</w:t>
      </w:r>
    </w:p>
    <w:p>
      <w:pPr>
        <w:spacing w:line="360" w:lineRule="auto"/>
        <w:jc w:val="center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各电信运营企业</w:t>
      </w:r>
      <w:r>
        <w:rPr>
          <w:rFonts w:hint="eastAsia" w:ascii="仿宋_GB2312" w:eastAsia="仿宋_GB2312"/>
          <w:b/>
          <w:sz w:val="32"/>
          <w:lang w:eastAsia="zh-CN"/>
        </w:rPr>
        <w:t>有效</w:t>
      </w:r>
      <w:r>
        <w:rPr>
          <w:rFonts w:hint="eastAsia" w:ascii="仿宋_GB2312" w:eastAsia="仿宋_GB2312"/>
          <w:b/>
          <w:sz w:val="32"/>
        </w:rPr>
        <w:t>申诉量对比统计表</w:t>
      </w:r>
    </w:p>
    <w:tbl>
      <w:tblPr>
        <w:tblStyle w:val="9"/>
        <w:tblW w:w="7663" w:type="dxa"/>
        <w:tblInd w:w="7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1661"/>
        <w:gridCol w:w="1661"/>
        <w:gridCol w:w="1661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6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2020年2季度</w:t>
            </w:r>
          </w:p>
        </w:tc>
        <w:tc>
          <w:tcPr>
            <w:tcW w:w="16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2020年1季度</w:t>
            </w:r>
          </w:p>
        </w:tc>
        <w:tc>
          <w:tcPr>
            <w:tcW w:w="16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本季度占比%</w:t>
            </w:r>
          </w:p>
        </w:tc>
        <w:tc>
          <w:tcPr>
            <w:tcW w:w="16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0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40.98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66.67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0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47.54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0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11.48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-12.50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0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60.53</w:t>
            </w:r>
          </w:p>
        </w:tc>
      </w:tr>
    </w:tbl>
    <w:p>
      <w:pPr>
        <w:pStyle w:val="8"/>
        <w:spacing w:line="360" w:lineRule="auto"/>
        <w:ind w:firstLine="640" w:firstLineChars="200"/>
        <w:rPr>
          <w:rFonts w:hint="eastAsia" w:ascii="黑体" w:eastAsia="黑体"/>
          <w:sz w:val="32"/>
          <w:szCs w:val="32"/>
          <w:lang w:val="zh-CN"/>
        </w:rPr>
      </w:pPr>
    </w:p>
    <w:p>
      <w:pPr>
        <w:pStyle w:val="8"/>
        <w:spacing w:line="360" w:lineRule="auto"/>
        <w:ind w:firstLine="640" w:firstLineChars="200"/>
        <w:rPr>
          <w:rFonts w:ascii="黑体" w:eastAsia="黑体"/>
          <w:sz w:val="32"/>
          <w:szCs w:val="32"/>
          <w:lang w:val="zh-CN"/>
        </w:rPr>
      </w:pPr>
      <w:r>
        <w:rPr>
          <w:rFonts w:hint="eastAsia" w:ascii="黑体" w:eastAsia="黑体"/>
          <w:sz w:val="32"/>
          <w:szCs w:val="32"/>
          <w:lang w:val="zh-CN"/>
        </w:rPr>
        <w:t>四、各电信运营企业申诉受理分类统计分析</w:t>
      </w:r>
    </w:p>
    <w:p>
      <w:pPr>
        <w:pStyle w:val="8"/>
        <w:spacing w:line="360" w:lineRule="auto"/>
        <w:ind w:firstLine="643" w:firstLineChars="200"/>
        <w:rPr>
          <w:rFonts w:ascii="楷体_GB2312" w:eastAsia="楷体_GB2312"/>
          <w:b/>
          <w:bCs/>
          <w:color w:val="C0504D" w:themeColor="accent2"/>
          <w:sz w:val="32"/>
          <w:szCs w:val="32"/>
          <w:lang w:val="zh-CN"/>
          <w14:textFill>
            <w14:solidFill>
              <w14:schemeClr w14:val="accent2"/>
            </w14:solidFill>
          </w14:textFill>
        </w:rPr>
      </w:pPr>
      <w:r>
        <w:rPr>
          <w:rFonts w:hint="eastAsia" w:ascii="楷体_GB2312" w:eastAsia="楷体_GB2312" w:cs="仿宋_GB2312"/>
          <w:b/>
          <w:bCs/>
          <w:sz w:val="32"/>
          <w:szCs w:val="32"/>
          <w:lang w:val="zh-CN"/>
        </w:rPr>
        <w:t>（一）资费</w:t>
      </w:r>
      <w:r>
        <w:rPr>
          <w:rFonts w:hint="eastAsia" w:ascii="楷体_GB2312" w:eastAsia="楷体_GB2312" w:cs="仿宋_GB2312"/>
          <w:b/>
          <w:bCs/>
          <w:sz w:val="32"/>
          <w:szCs w:val="32"/>
        </w:rPr>
        <w:t>类</w:t>
      </w:r>
    </w:p>
    <w:p>
      <w:pPr>
        <w:pStyle w:val="8"/>
        <w:spacing w:line="360" w:lineRule="auto"/>
        <w:ind w:firstLine="640" w:firstLineChars="200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sz w:val="32"/>
          <w:szCs w:val="32"/>
          <w:lang w:val="zh-CN"/>
        </w:rPr>
        <w:t>本季度关于资费类问题申诉共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89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人次，占本季度用户申诉总量的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14.69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个百分点，与上季度</w:t>
      </w:r>
      <w:r>
        <w:rPr>
          <w:rFonts w:hint="eastAsia" w:ascii="仿宋_GB2312" w:eastAsia="仿宋_GB2312" w:cs="仿宋_GB2312"/>
          <w:sz w:val="32"/>
          <w:szCs w:val="32"/>
        </w:rPr>
        <w:t>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58</w:t>
      </w:r>
      <w:r>
        <w:rPr>
          <w:rFonts w:hint="eastAsia" w:ascii="仿宋_GB2312" w:eastAsia="仿宋_GB2312" w:cs="仿宋_GB2312"/>
          <w:sz w:val="32"/>
          <w:szCs w:val="32"/>
        </w:rPr>
        <w:t>人次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相比上升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53.45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个百分点。其中：申诉电信公司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48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人次，申诉移动公司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35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人次，申诉联通公司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人次。</w:t>
      </w:r>
    </w:p>
    <w:p>
      <w:pPr>
        <w:pStyle w:val="8"/>
        <w:spacing w:line="360" w:lineRule="auto"/>
        <w:ind w:firstLine="2830" w:firstLineChars="881"/>
        <w:rPr>
          <w:rFonts w:ascii="楷体_GB2312" w:eastAsia="楷体_GB2312" w:cs="仿宋_GB2312"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申诉资费</w:t>
      </w:r>
      <w:r>
        <w:rPr>
          <w:rFonts w:hint="eastAsia" w:ascii="仿宋_GB2312" w:eastAsia="仿宋_GB2312" w:cs="仿宋_GB2312"/>
          <w:b/>
          <w:sz w:val="32"/>
          <w:szCs w:val="32"/>
        </w:rPr>
        <w:t>类</w:t>
      </w: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统计表</w:t>
      </w:r>
    </w:p>
    <w:tbl>
      <w:tblPr>
        <w:tblStyle w:val="9"/>
        <w:tblW w:w="7232" w:type="dxa"/>
        <w:tblInd w:w="67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528"/>
        <w:gridCol w:w="1528"/>
        <w:gridCol w:w="1528"/>
        <w:gridCol w:w="17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9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5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2020年2季度</w:t>
            </w:r>
          </w:p>
        </w:tc>
        <w:tc>
          <w:tcPr>
            <w:tcW w:w="15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2020年1季度</w:t>
            </w:r>
          </w:p>
        </w:tc>
        <w:tc>
          <w:tcPr>
            <w:tcW w:w="15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本季度占比%</w:t>
            </w:r>
          </w:p>
        </w:tc>
        <w:tc>
          <w:tcPr>
            <w:tcW w:w="170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9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53.93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9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39.33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9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6.74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-14.29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9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53.45</w:t>
            </w:r>
          </w:p>
        </w:tc>
      </w:tr>
    </w:tbl>
    <w:p>
      <w:pPr>
        <w:pStyle w:val="8"/>
        <w:spacing w:line="360" w:lineRule="auto"/>
        <w:ind w:firstLine="3473" w:firstLineChars="1081"/>
        <w:rPr>
          <w:rFonts w:hint="eastAsia" w:ascii="仿宋_GB2312" w:eastAsia="仿宋_GB2312" w:cs="仿宋_GB2312"/>
          <w:b/>
          <w:sz w:val="32"/>
          <w:szCs w:val="32"/>
          <w:lang w:val="zh-CN"/>
        </w:rPr>
      </w:pPr>
    </w:p>
    <w:p>
      <w:pPr>
        <w:pStyle w:val="8"/>
        <w:spacing w:line="360" w:lineRule="auto"/>
        <w:ind w:firstLine="3473" w:firstLineChars="1081"/>
        <w:rPr>
          <w:rFonts w:hint="eastAsia" w:ascii="仿宋_GB2312" w:eastAsia="仿宋_GB2312" w:cs="仿宋_GB2312"/>
          <w:b/>
          <w:sz w:val="32"/>
          <w:szCs w:val="32"/>
          <w:lang w:val="zh-CN"/>
        </w:rPr>
      </w:pPr>
    </w:p>
    <w:p>
      <w:pPr>
        <w:pStyle w:val="8"/>
        <w:spacing w:line="360" w:lineRule="auto"/>
        <w:ind w:firstLine="3473" w:firstLineChars="1081"/>
        <w:rPr>
          <w:rFonts w:ascii="仿宋_GB2312" w:eastAsia="仿宋_GB2312" w:cs="仿宋_GB2312"/>
          <w:b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资费类对比图</w:t>
      </w:r>
    </w:p>
    <w:p>
      <w:pPr>
        <w:jc w:val="center"/>
      </w:pPr>
      <w:r>
        <w:drawing>
          <wp:inline distT="0" distB="0" distL="0" distR="0">
            <wp:extent cx="4011295" cy="1609725"/>
            <wp:effectExtent l="4445" t="4445" r="22860" b="5080"/>
            <wp:docPr id="6" name="图表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>
      <w:pPr>
        <w:pStyle w:val="8"/>
        <w:spacing w:line="360" w:lineRule="auto"/>
        <w:ind w:firstLine="2827" w:firstLineChars="880"/>
        <w:rPr>
          <w:rFonts w:ascii="仿宋_GB2312" w:eastAsia="仿宋_GB2312" w:cs="仿宋_GB2312"/>
          <w:b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本季度资费类占比图</w:t>
      </w:r>
    </w:p>
    <w:p>
      <w:pPr>
        <w:jc w:val="center"/>
      </w:pPr>
      <w:r>
        <w:drawing>
          <wp:inline distT="0" distB="0" distL="0" distR="0">
            <wp:extent cx="3801745" cy="1667510"/>
            <wp:effectExtent l="5080" t="4445" r="22225" b="23495"/>
            <wp:docPr id="7" name="图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>
      <w:pPr>
        <w:pStyle w:val="8"/>
        <w:spacing w:line="360" w:lineRule="auto"/>
        <w:ind w:firstLine="2891" w:firstLineChars="900"/>
        <w:rPr>
          <w:rFonts w:ascii="宋体" w:hAnsi="宋体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  <w:t>本季度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zh-CN"/>
        </w:rPr>
        <w:t>资费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类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zh-CN"/>
        </w:rPr>
        <w:t>分项统计表</w:t>
      </w:r>
    </w:p>
    <w:tbl>
      <w:tblPr>
        <w:tblStyle w:val="9"/>
        <w:tblW w:w="6465" w:type="dxa"/>
        <w:tblInd w:w="144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45"/>
        <w:gridCol w:w="1365"/>
        <w:gridCol w:w="1260"/>
        <w:gridCol w:w="15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245" w:type="dxa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资费价格</w:t>
            </w:r>
          </w:p>
        </w:tc>
        <w:tc>
          <w:tcPr>
            <w:tcW w:w="1365" w:type="dxa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资费套餐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资费其他</w:t>
            </w:r>
          </w:p>
        </w:tc>
        <w:tc>
          <w:tcPr>
            <w:tcW w:w="1530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065" w:type="dxa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065" w:type="dxa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065" w:type="dxa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065" w:type="dxa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</w:tr>
    </w:tbl>
    <w:p>
      <w:pPr>
        <w:pStyle w:val="8"/>
        <w:spacing w:line="360" w:lineRule="auto"/>
        <w:ind w:firstLine="221" w:firstLineChars="200"/>
        <w:rPr>
          <w:rFonts w:ascii="仿宋_GB2312" w:eastAsia="仿宋_GB2312" w:cs="仿宋_GB2312"/>
          <w:b/>
          <w:sz w:val="11"/>
          <w:szCs w:val="11"/>
          <w:lang w:val="zh-CN"/>
        </w:rPr>
      </w:pPr>
    </w:p>
    <w:p>
      <w:pPr>
        <w:pStyle w:val="8"/>
        <w:spacing w:line="360" w:lineRule="auto"/>
        <w:ind w:firstLine="643" w:firstLineChars="200"/>
        <w:rPr>
          <w:rFonts w:ascii="仿宋_GB2312" w:eastAsia="仿宋_GB2312" w:cs="仿宋_GB2312"/>
          <w:b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（二）营销类</w:t>
      </w:r>
    </w:p>
    <w:p>
      <w:pPr>
        <w:pStyle w:val="8"/>
        <w:spacing w:line="360" w:lineRule="auto"/>
        <w:ind w:firstLine="640" w:firstLineChars="200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sz w:val="32"/>
          <w:szCs w:val="32"/>
          <w:lang w:val="zh-CN"/>
        </w:rPr>
        <w:t>本季度关于营销类问题申诉共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49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人次，占本季度用户申诉总量的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8.09</w:t>
      </w:r>
      <w:r>
        <w:rPr>
          <w:rFonts w:hint="eastAsia" w:ascii="仿宋_GB2312" w:eastAsia="仿宋_GB2312" w:cs="仿宋_GB2312"/>
          <w:sz w:val="32"/>
          <w:szCs w:val="32"/>
        </w:rPr>
        <w:t>个百分点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，与上季度</w:t>
      </w:r>
      <w:r>
        <w:rPr>
          <w:rFonts w:hint="eastAsia" w:ascii="仿宋_GB2312" w:eastAsia="仿宋_GB2312" w:cs="仿宋_GB2312"/>
          <w:sz w:val="32"/>
          <w:szCs w:val="32"/>
        </w:rPr>
        <w:t>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28</w:t>
      </w:r>
      <w:r>
        <w:rPr>
          <w:rFonts w:hint="eastAsia" w:ascii="仿宋_GB2312" w:eastAsia="仿宋_GB2312" w:cs="仿宋_GB2312"/>
          <w:sz w:val="32"/>
          <w:szCs w:val="32"/>
        </w:rPr>
        <w:t>人次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相比上升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75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个百分点。其中，申诉电信公司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人次，申诉移动公司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26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人次，申诉联通公司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人次。</w:t>
      </w:r>
    </w:p>
    <w:p>
      <w:pPr>
        <w:widowControl/>
        <w:ind w:firstLine="3213" w:firstLineChars="1000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营销类统计表</w:t>
      </w:r>
    </w:p>
    <w:tbl>
      <w:tblPr>
        <w:tblStyle w:val="9"/>
        <w:tblW w:w="7138" w:type="dxa"/>
        <w:tblInd w:w="87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1583"/>
        <w:gridCol w:w="1583"/>
        <w:gridCol w:w="1583"/>
        <w:gridCol w:w="15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5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2020年2季度</w:t>
            </w:r>
          </w:p>
        </w:tc>
        <w:tc>
          <w:tcPr>
            <w:tcW w:w="15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2020年1季度</w:t>
            </w:r>
          </w:p>
        </w:tc>
        <w:tc>
          <w:tcPr>
            <w:tcW w:w="15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本季度占比%</w:t>
            </w:r>
          </w:p>
        </w:tc>
        <w:tc>
          <w:tcPr>
            <w:tcW w:w="15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24.49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53.06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23.81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22.45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266.67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75.00</w:t>
            </w:r>
          </w:p>
        </w:tc>
      </w:tr>
    </w:tbl>
    <w:p>
      <w:pPr>
        <w:widowControl/>
        <w:jc w:val="center"/>
        <w:rPr>
          <w:rFonts w:hint="eastAsia" w:ascii="仿宋_GB2312" w:hAnsi="宋体" w:eastAsia="仿宋_GB2312" w:cs="宋体"/>
          <w:b/>
          <w:kern w:val="0"/>
          <w:sz w:val="32"/>
          <w:szCs w:val="32"/>
        </w:rPr>
      </w:pPr>
    </w:p>
    <w:p>
      <w:pPr>
        <w:widowControl/>
        <w:jc w:val="center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营销类对比图</w:t>
      </w:r>
    </w:p>
    <w:p>
      <w:pPr>
        <w:jc w:val="center"/>
      </w:pPr>
      <w:r>
        <w:drawing>
          <wp:inline distT="0" distB="0" distL="0" distR="0">
            <wp:extent cx="4229735" cy="1734820"/>
            <wp:effectExtent l="4445" t="5080" r="13970" b="12700"/>
            <wp:docPr id="8" name="图表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>
      <w:pPr>
        <w:pStyle w:val="8"/>
        <w:spacing w:line="360" w:lineRule="auto"/>
        <w:ind w:firstLine="3148" w:firstLineChars="980"/>
        <w:rPr>
          <w:rFonts w:ascii="仿宋_GB2312" w:eastAsia="仿宋_GB2312" w:cs="仿宋_GB2312"/>
          <w:b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本季度营销类占比图</w:t>
      </w:r>
    </w:p>
    <w:p>
      <w:pPr>
        <w:jc w:val="center"/>
      </w:pPr>
      <w:r>
        <w:drawing>
          <wp:inline distT="0" distB="0" distL="0" distR="0">
            <wp:extent cx="4210685" cy="1905000"/>
            <wp:effectExtent l="4445" t="4445" r="13970" b="14605"/>
            <wp:docPr id="9" name="图表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>
      <w:pPr>
        <w:widowControl/>
        <w:jc w:val="center"/>
        <w:rPr>
          <w:rFonts w:hint="eastAsia" w:ascii="仿宋_GB2312" w:eastAsia="仿宋_GB2312" w:cs="仿宋_GB2312" w:hAnsiTheme="minorHAnsi"/>
          <w:b/>
          <w:sz w:val="32"/>
          <w:szCs w:val="32"/>
          <w:lang w:val="en-US" w:eastAsia="zh-CN"/>
        </w:rPr>
      </w:pPr>
    </w:p>
    <w:p>
      <w:pPr>
        <w:widowControl/>
        <w:jc w:val="center"/>
        <w:rPr>
          <w:rFonts w:ascii="仿宋_GB2312" w:eastAsia="仿宋_GB2312" w:cs="仿宋_GB2312" w:hAnsiTheme="minorHAnsi"/>
          <w:b/>
          <w:sz w:val="32"/>
          <w:szCs w:val="32"/>
          <w:lang w:val="zh-CN"/>
        </w:rPr>
      </w:pPr>
      <w:r>
        <w:rPr>
          <w:rFonts w:hint="eastAsia" w:ascii="仿宋_GB2312" w:eastAsia="仿宋_GB2312" w:cs="仿宋_GB2312" w:hAnsiTheme="minorHAnsi"/>
          <w:b/>
          <w:sz w:val="32"/>
          <w:szCs w:val="32"/>
          <w:lang w:val="en-US" w:eastAsia="zh-CN"/>
        </w:rPr>
        <w:t>本季度</w:t>
      </w:r>
      <w:r>
        <w:rPr>
          <w:rFonts w:hint="eastAsia" w:ascii="仿宋_GB2312" w:eastAsia="仿宋_GB2312" w:cs="仿宋_GB2312" w:hAnsiTheme="minorHAnsi"/>
          <w:b/>
          <w:sz w:val="32"/>
          <w:szCs w:val="32"/>
          <w:lang w:val="zh-CN"/>
        </w:rPr>
        <w:t>营销质量分项统计表</w:t>
      </w:r>
    </w:p>
    <w:tbl>
      <w:tblPr>
        <w:tblStyle w:val="9"/>
        <w:tblW w:w="8355" w:type="dxa"/>
        <w:tblInd w:w="46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107"/>
        <w:gridCol w:w="1170"/>
        <w:gridCol w:w="1305"/>
        <w:gridCol w:w="1140"/>
        <w:gridCol w:w="1155"/>
        <w:gridCol w:w="1095"/>
        <w:gridCol w:w="6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1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虚假宣传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营销扰民</w:t>
            </w:r>
          </w:p>
        </w:tc>
        <w:tc>
          <w:tcPr>
            <w:tcW w:w="13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不正当竞争</w:t>
            </w:r>
          </w:p>
        </w:tc>
        <w:tc>
          <w:tcPr>
            <w:tcW w:w="11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协议违规</w:t>
            </w:r>
          </w:p>
        </w:tc>
        <w:tc>
          <w:tcPr>
            <w:tcW w:w="11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强制服务</w:t>
            </w:r>
          </w:p>
        </w:tc>
        <w:tc>
          <w:tcPr>
            <w:tcW w:w="10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营销其他</w:t>
            </w:r>
          </w:p>
        </w:tc>
        <w:tc>
          <w:tcPr>
            <w:tcW w:w="6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</w:tr>
    </w:tbl>
    <w:p>
      <w:pPr>
        <w:pStyle w:val="8"/>
        <w:spacing w:line="360" w:lineRule="auto"/>
        <w:ind w:firstLine="643" w:firstLineChars="200"/>
        <w:rPr>
          <w:rFonts w:ascii="仿宋_GB2312" w:eastAsia="仿宋_GB2312" w:cs="仿宋_GB2312"/>
          <w:b/>
          <w:sz w:val="32"/>
          <w:szCs w:val="32"/>
          <w:lang w:val="zh-CN"/>
        </w:rPr>
      </w:pPr>
    </w:p>
    <w:p>
      <w:pPr>
        <w:pStyle w:val="8"/>
        <w:spacing w:line="360" w:lineRule="auto"/>
        <w:ind w:firstLine="643" w:firstLineChars="200"/>
        <w:rPr>
          <w:rFonts w:ascii="仿宋_GB2312" w:eastAsia="仿宋_GB2312"/>
          <w:b/>
          <w:color w:val="C0504D" w:themeColor="accent2"/>
          <w:sz w:val="32"/>
          <w:szCs w:val="32"/>
          <w:lang w:val="zh-CN"/>
          <w14:textFill>
            <w14:solidFill>
              <w14:schemeClr w14:val="accent2"/>
            </w14:solidFill>
          </w14:textFill>
        </w:rPr>
      </w:pP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（三）网络类</w:t>
      </w:r>
    </w:p>
    <w:p>
      <w:pPr>
        <w:spacing w:line="360" w:lineRule="auto"/>
        <w:ind w:firstLine="640" w:firstLineChars="200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sz w:val="32"/>
          <w:szCs w:val="32"/>
          <w:lang w:val="zh-CN"/>
        </w:rPr>
        <w:t>本季度关于网络类问题申诉共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70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人次，占本季度总申诉量的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11.55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个百分点，与上季度</w:t>
      </w:r>
      <w:r>
        <w:rPr>
          <w:rFonts w:hint="eastAsia" w:ascii="仿宋_GB2312" w:eastAsia="仿宋_GB2312" w:cs="仿宋_GB2312"/>
          <w:sz w:val="32"/>
          <w:szCs w:val="32"/>
        </w:rPr>
        <w:t>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48</w:t>
      </w:r>
      <w:r>
        <w:rPr>
          <w:rFonts w:hint="eastAsia" w:ascii="仿宋_GB2312" w:eastAsia="仿宋_GB2312" w:cs="仿宋_GB2312"/>
          <w:sz w:val="32"/>
          <w:szCs w:val="32"/>
        </w:rPr>
        <w:t>人次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相比上升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45.83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个百分点。其中，申诉电信公司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人次，申诉移动公司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39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人次，申诉联通公司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人次。</w:t>
      </w:r>
    </w:p>
    <w:p>
      <w:pPr>
        <w:spacing w:line="360" w:lineRule="auto"/>
        <w:jc w:val="center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网络类统计表</w:t>
      </w:r>
    </w:p>
    <w:tbl>
      <w:tblPr>
        <w:tblStyle w:val="9"/>
        <w:tblW w:w="7001" w:type="dxa"/>
        <w:tblInd w:w="135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635"/>
        <w:gridCol w:w="1560"/>
        <w:gridCol w:w="1373"/>
        <w:gridCol w:w="16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6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2020年2季度</w:t>
            </w:r>
          </w:p>
        </w:tc>
        <w:tc>
          <w:tcPr>
            <w:tcW w:w="15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2020年1季度</w:t>
            </w:r>
          </w:p>
        </w:tc>
        <w:tc>
          <w:tcPr>
            <w:tcW w:w="13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本季度占比%</w:t>
            </w:r>
          </w:p>
        </w:tc>
        <w:tc>
          <w:tcPr>
            <w:tcW w:w="16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28.57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55.71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15.71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45.83</w:t>
            </w:r>
          </w:p>
        </w:tc>
      </w:tr>
    </w:tbl>
    <w:p>
      <w:pPr>
        <w:spacing w:line="360" w:lineRule="auto"/>
        <w:jc w:val="center"/>
        <w:rPr>
          <w:rFonts w:ascii="仿宋_GB2312" w:eastAsia="仿宋_GB2312" w:cs="仿宋_GB2312"/>
          <w:b/>
          <w:sz w:val="32"/>
          <w:szCs w:val="32"/>
          <w:lang w:val="zh-CN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网络类统计对比图</w:t>
      </w:r>
    </w:p>
    <w:p>
      <w:pPr>
        <w:widowControl/>
        <w:jc w:val="center"/>
      </w:pPr>
      <w:r>
        <w:drawing>
          <wp:inline distT="0" distB="0" distL="0" distR="0">
            <wp:extent cx="3973830" cy="1819910"/>
            <wp:effectExtent l="4445" t="5080" r="22225" b="22860"/>
            <wp:docPr id="10" name="图表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>
      <w:pPr>
        <w:spacing w:line="360" w:lineRule="auto"/>
        <w:jc w:val="center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本季度网络类统计占比图</w:t>
      </w:r>
    </w:p>
    <w:p>
      <w:pPr>
        <w:jc w:val="center"/>
      </w:pPr>
      <w:r>
        <w:drawing>
          <wp:inline distT="0" distB="0" distL="0" distR="0">
            <wp:extent cx="4001135" cy="2019935"/>
            <wp:effectExtent l="4445" t="4445" r="13970" b="13970"/>
            <wp:docPr id="11" name="图表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>
      <w:pPr>
        <w:spacing w:line="360" w:lineRule="auto"/>
        <w:jc w:val="center"/>
        <w:rPr>
          <w:rFonts w:ascii="仿宋_GB2312" w:hAnsi="宋体" w:eastAsia="仿宋_GB2312" w:cs="宋体"/>
          <w:b/>
          <w:kern w:val="0"/>
          <w:sz w:val="32"/>
          <w:szCs w:val="32"/>
          <w:lang w:val="zh-CN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  <w:t>本季度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网络类分项统计表</w:t>
      </w:r>
    </w:p>
    <w:tbl>
      <w:tblPr>
        <w:tblStyle w:val="9"/>
        <w:tblW w:w="7920" w:type="dxa"/>
        <w:tblInd w:w="4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1080"/>
        <w:gridCol w:w="1080"/>
        <w:gridCol w:w="1080"/>
        <w:gridCol w:w="1080"/>
        <w:gridCol w:w="1080"/>
        <w:gridCol w:w="1080"/>
        <w:gridCol w:w="7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网络覆盖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通信不畅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上网不畅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网络故障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网间故障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网络其他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</w:tr>
    </w:tbl>
    <w:p>
      <w:pPr>
        <w:pStyle w:val="8"/>
        <w:spacing w:line="360" w:lineRule="auto"/>
        <w:ind w:firstLine="450" w:firstLineChars="140"/>
        <w:rPr>
          <w:rFonts w:ascii="楷体_GB2312" w:eastAsia="楷体_GB2312" w:cs="仿宋_GB2312"/>
          <w:b/>
          <w:bCs/>
          <w:sz w:val="32"/>
          <w:szCs w:val="32"/>
          <w:lang w:val="zh-CN"/>
        </w:rPr>
      </w:pPr>
    </w:p>
    <w:p>
      <w:pPr>
        <w:pStyle w:val="8"/>
        <w:spacing w:line="360" w:lineRule="auto"/>
        <w:ind w:firstLine="450" w:firstLineChars="140"/>
        <w:rPr>
          <w:rFonts w:ascii="楷体_GB2312" w:eastAsia="楷体_GB2312" w:cs="仿宋_GB2312"/>
          <w:sz w:val="32"/>
          <w:szCs w:val="32"/>
          <w:lang w:val="zh-CN"/>
        </w:rPr>
      </w:pPr>
      <w:r>
        <w:rPr>
          <w:rFonts w:hint="eastAsia" w:ascii="楷体_GB2312" w:eastAsia="楷体_GB2312" w:cs="仿宋_GB2312"/>
          <w:b/>
          <w:bCs/>
          <w:sz w:val="32"/>
          <w:szCs w:val="32"/>
          <w:lang w:val="zh-CN"/>
        </w:rPr>
        <w:t>（四）服务</w:t>
      </w:r>
      <w:r>
        <w:rPr>
          <w:rFonts w:hint="eastAsia" w:ascii="楷体_GB2312" w:eastAsia="楷体_GB2312" w:cs="仿宋_GB2312"/>
          <w:b/>
          <w:bCs/>
          <w:sz w:val="32"/>
          <w:szCs w:val="32"/>
        </w:rPr>
        <w:t>类</w:t>
      </w:r>
    </w:p>
    <w:p>
      <w:pPr>
        <w:spacing w:line="360" w:lineRule="auto"/>
        <w:ind w:firstLine="640" w:firstLineChars="200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sz w:val="32"/>
          <w:szCs w:val="32"/>
          <w:lang w:val="zh-CN"/>
        </w:rPr>
        <w:t>本季度关于服务类问题申诉共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285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人次，占本季度总申诉量的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47.03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个百分点，与上季度</w:t>
      </w:r>
      <w:r>
        <w:rPr>
          <w:rFonts w:hint="eastAsia" w:ascii="仿宋_GB2312" w:eastAsia="仿宋_GB2312" w:cs="仿宋_GB2312"/>
          <w:sz w:val="32"/>
          <w:szCs w:val="32"/>
        </w:rPr>
        <w:t>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131</w:t>
      </w:r>
      <w:r>
        <w:rPr>
          <w:rFonts w:hint="eastAsia" w:ascii="仿宋_GB2312" w:eastAsia="仿宋_GB2312" w:cs="仿宋_GB2312"/>
          <w:sz w:val="32"/>
          <w:szCs w:val="32"/>
        </w:rPr>
        <w:t>人次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相比上升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117.56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个百分点。其中，申诉电信公司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164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人次，申诉移动公司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83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人次，申诉联通公司的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38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人次。</w:t>
      </w:r>
    </w:p>
    <w:p>
      <w:pPr>
        <w:pStyle w:val="8"/>
        <w:spacing w:line="360" w:lineRule="auto"/>
        <w:ind w:firstLine="3338" w:firstLineChars="1039"/>
        <w:rPr>
          <w:rFonts w:ascii="仿宋_GB2312" w:eastAsia="仿宋_GB2312" w:cs="仿宋_GB2312"/>
          <w:b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服务类统计表</w:t>
      </w:r>
    </w:p>
    <w:tbl>
      <w:tblPr>
        <w:tblStyle w:val="9"/>
        <w:tblW w:w="7343" w:type="dxa"/>
        <w:tblInd w:w="88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590"/>
        <w:gridCol w:w="1470"/>
        <w:gridCol w:w="1404"/>
        <w:gridCol w:w="16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5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2020年2季度</w:t>
            </w:r>
          </w:p>
        </w:tc>
        <w:tc>
          <w:tcPr>
            <w:tcW w:w="14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2020年1季度</w:t>
            </w:r>
          </w:p>
        </w:tc>
        <w:tc>
          <w:tcPr>
            <w:tcW w:w="14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本季度占比</w:t>
            </w:r>
            <w:r>
              <w:rPr>
                <w:rStyle w:val="22"/>
                <w:lang w:val="en-US" w:eastAsia="zh-CN" w:bidi="ar"/>
              </w:rPr>
              <w:t>%</w:t>
            </w:r>
          </w:p>
        </w:tc>
        <w:tc>
          <w:tcPr>
            <w:tcW w:w="16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</w:t>
            </w:r>
            <w:r>
              <w:rPr>
                <w:rStyle w:val="22"/>
                <w:lang w:val="en-US" w:eastAsia="zh-CN" w:bidi="ar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2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57.54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177.97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2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29.12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2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13.33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2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117.56</w:t>
            </w:r>
          </w:p>
        </w:tc>
      </w:tr>
    </w:tbl>
    <w:p>
      <w:pPr>
        <w:pStyle w:val="8"/>
        <w:spacing w:line="360" w:lineRule="auto"/>
        <w:ind w:firstLine="3052" w:firstLineChars="950"/>
        <w:rPr>
          <w:rFonts w:ascii="仿宋_GB2312" w:eastAsia="仿宋_GB2312" w:cs="仿宋_GB2312"/>
          <w:b/>
          <w:sz w:val="32"/>
          <w:szCs w:val="32"/>
          <w:lang w:val="zh-CN"/>
        </w:rPr>
      </w:pPr>
    </w:p>
    <w:p>
      <w:pPr>
        <w:pStyle w:val="8"/>
        <w:spacing w:line="360" w:lineRule="auto"/>
        <w:ind w:firstLine="3373" w:firstLineChars="1050"/>
        <w:rPr>
          <w:rFonts w:ascii="仿宋_GB2312" w:eastAsia="仿宋_GB2312" w:cs="仿宋_GB2312"/>
          <w:b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服务类对比图</w:t>
      </w:r>
    </w:p>
    <w:p>
      <w:pPr>
        <w:jc w:val="center"/>
      </w:pPr>
      <w:r>
        <w:drawing>
          <wp:inline distT="0" distB="0" distL="0" distR="0">
            <wp:extent cx="4116070" cy="1772285"/>
            <wp:effectExtent l="4445" t="4445" r="13335" b="13970"/>
            <wp:docPr id="12" name="图表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>
      <w:pPr>
        <w:pStyle w:val="8"/>
        <w:spacing w:line="360" w:lineRule="auto"/>
        <w:ind w:firstLine="3151" w:firstLineChars="981"/>
        <w:rPr>
          <w:rFonts w:ascii="楷体_GB2312" w:eastAsia="楷体_GB2312" w:cs="仿宋_GB2312"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b/>
          <w:sz w:val="32"/>
          <w:szCs w:val="32"/>
        </w:rPr>
        <w:t>本季度</w:t>
      </w: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服务</w:t>
      </w:r>
      <w:r>
        <w:rPr>
          <w:rFonts w:hint="eastAsia" w:ascii="仿宋_GB2312" w:eastAsia="仿宋_GB2312" w:cs="仿宋_GB2312"/>
          <w:b/>
          <w:sz w:val="32"/>
          <w:szCs w:val="32"/>
        </w:rPr>
        <w:t>类</w:t>
      </w: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占比图</w:t>
      </w:r>
    </w:p>
    <w:p>
      <w:pPr>
        <w:jc w:val="center"/>
      </w:pPr>
      <w:r>
        <w:drawing>
          <wp:inline distT="0" distB="0" distL="0" distR="0">
            <wp:extent cx="3962400" cy="1809750"/>
            <wp:effectExtent l="4445" t="4445" r="14605" b="14605"/>
            <wp:docPr id="13" name="图表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>
      <w:pPr>
        <w:pStyle w:val="8"/>
        <w:spacing w:line="360" w:lineRule="auto"/>
        <w:ind w:firstLine="3052" w:firstLineChars="950"/>
      </w:pPr>
      <w:r>
        <w:rPr>
          <w:rFonts w:hint="eastAsia" w:ascii="仿宋_GB2312" w:eastAsia="仿宋_GB2312" w:cs="仿宋_GB2312"/>
          <w:b/>
          <w:sz w:val="32"/>
          <w:szCs w:val="32"/>
          <w:lang w:val="en-US" w:eastAsia="zh-CN"/>
        </w:rPr>
        <w:t>本季度</w:t>
      </w: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服务</w:t>
      </w:r>
      <w:r>
        <w:rPr>
          <w:rFonts w:hint="eastAsia" w:ascii="仿宋_GB2312" w:eastAsia="仿宋_GB2312" w:cs="仿宋_GB2312"/>
          <w:b/>
          <w:sz w:val="32"/>
          <w:szCs w:val="32"/>
        </w:rPr>
        <w:t>类</w:t>
      </w: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分项统计表</w:t>
      </w:r>
    </w:p>
    <w:tbl>
      <w:tblPr>
        <w:tblStyle w:val="9"/>
        <w:tblW w:w="950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1124"/>
        <w:gridCol w:w="1130"/>
        <w:gridCol w:w="1192"/>
        <w:gridCol w:w="1089"/>
        <w:gridCol w:w="1088"/>
        <w:gridCol w:w="1225"/>
        <w:gridCol w:w="1134"/>
        <w:gridCol w:w="6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1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服务时限</w:t>
            </w:r>
          </w:p>
        </w:tc>
        <w:tc>
          <w:tcPr>
            <w:tcW w:w="11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服务退停</w:t>
            </w:r>
          </w:p>
        </w:tc>
        <w:tc>
          <w:tcPr>
            <w:tcW w:w="11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服务违约</w:t>
            </w:r>
          </w:p>
        </w:tc>
        <w:tc>
          <w:tcPr>
            <w:tcW w:w="10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服务态度</w:t>
            </w:r>
          </w:p>
        </w:tc>
        <w:tc>
          <w:tcPr>
            <w:tcW w:w="10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业务办理</w:t>
            </w:r>
          </w:p>
        </w:tc>
        <w:tc>
          <w:tcPr>
            <w:tcW w:w="12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携号转网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服务其他</w:t>
            </w:r>
          </w:p>
        </w:tc>
        <w:tc>
          <w:tcPr>
            <w:tcW w:w="6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8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8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8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8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285</w:t>
            </w:r>
          </w:p>
        </w:tc>
      </w:tr>
    </w:tbl>
    <w:p>
      <w:pPr>
        <w:pStyle w:val="8"/>
        <w:spacing w:line="360" w:lineRule="auto"/>
        <w:ind w:firstLine="643" w:firstLineChars="200"/>
        <w:rPr>
          <w:rFonts w:ascii="楷体_GB2312" w:eastAsia="楷体_GB2312" w:cs="仿宋_GB2312"/>
          <w:b/>
          <w:bCs/>
          <w:sz w:val="32"/>
          <w:szCs w:val="32"/>
          <w:lang w:val="zh-CN"/>
        </w:rPr>
      </w:pPr>
    </w:p>
    <w:p>
      <w:pPr>
        <w:pStyle w:val="8"/>
        <w:spacing w:line="360" w:lineRule="auto"/>
        <w:ind w:firstLine="643" w:firstLineChars="200"/>
        <w:rPr>
          <w:rFonts w:ascii="楷体_GB2312" w:eastAsia="楷体_GB2312" w:cs="仿宋_GB2312"/>
          <w:b/>
          <w:bCs/>
          <w:sz w:val="32"/>
          <w:szCs w:val="32"/>
          <w:lang w:val="zh-CN"/>
        </w:rPr>
      </w:pPr>
      <w:r>
        <w:rPr>
          <w:rFonts w:hint="eastAsia" w:ascii="楷体_GB2312" w:eastAsia="楷体_GB2312" w:cs="仿宋_GB2312"/>
          <w:b/>
          <w:bCs/>
          <w:sz w:val="32"/>
          <w:szCs w:val="32"/>
          <w:lang w:val="zh-CN"/>
        </w:rPr>
        <w:t>（五）收费争议</w:t>
      </w:r>
    </w:p>
    <w:p>
      <w:pPr>
        <w:spacing w:line="360" w:lineRule="auto"/>
        <w:ind w:firstLine="640" w:firstLineChars="200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sz w:val="32"/>
          <w:szCs w:val="32"/>
          <w:lang w:val="zh-CN"/>
        </w:rPr>
        <w:t>本季度关于收费类问题申诉共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102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人次，占本季度总申诉量的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16.83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个百分点，与上季度</w:t>
      </w:r>
      <w:r>
        <w:rPr>
          <w:rFonts w:hint="eastAsia" w:ascii="仿宋_GB2312" w:eastAsia="仿宋_GB2312" w:cs="仿宋_GB2312"/>
          <w:sz w:val="32"/>
          <w:szCs w:val="32"/>
        </w:rPr>
        <w:t>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68</w:t>
      </w:r>
      <w:r>
        <w:rPr>
          <w:rFonts w:hint="eastAsia" w:ascii="仿宋_GB2312" w:eastAsia="仿宋_GB2312" w:cs="仿宋_GB2312"/>
          <w:sz w:val="32"/>
          <w:szCs w:val="32"/>
        </w:rPr>
        <w:t>人次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相比上升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50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个百分点。其中，申诉电信公司的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52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人次，申诉移动公司的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40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人次，申诉联通公司的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人次。</w:t>
      </w:r>
    </w:p>
    <w:p>
      <w:pPr>
        <w:pStyle w:val="8"/>
        <w:spacing w:line="360" w:lineRule="auto"/>
        <w:ind w:firstLine="3309" w:firstLineChars="1030"/>
        <w:rPr>
          <w:rFonts w:ascii="仿宋_GB2312" w:eastAsia="仿宋_GB2312" w:cs="仿宋_GB2312"/>
          <w:b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收费类统计表</w:t>
      </w:r>
    </w:p>
    <w:tbl>
      <w:tblPr>
        <w:tblStyle w:val="9"/>
        <w:tblW w:w="7356" w:type="dxa"/>
        <w:tblInd w:w="10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485"/>
        <w:gridCol w:w="1503"/>
        <w:gridCol w:w="1442"/>
        <w:gridCol w:w="17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1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2020年2季度</w:t>
            </w:r>
          </w:p>
        </w:tc>
        <w:tc>
          <w:tcPr>
            <w:tcW w:w="15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2020年1季度</w:t>
            </w:r>
          </w:p>
        </w:tc>
        <w:tc>
          <w:tcPr>
            <w:tcW w:w="14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本季度占比%</w:t>
            </w:r>
          </w:p>
        </w:tc>
        <w:tc>
          <w:tcPr>
            <w:tcW w:w="17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1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50.98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1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39.22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11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9.80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1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50.00</w:t>
            </w:r>
          </w:p>
        </w:tc>
      </w:tr>
    </w:tbl>
    <w:p>
      <w:pPr>
        <w:pStyle w:val="8"/>
        <w:spacing w:line="360" w:lineRule="auto"/>
        <w:ind w:firstLine="2731" w:firstLineChars="850"/>
        <w:rPr>
          <w:rFonts w:ascii="仿宋_GB2312" w:eastAsia="仿宋_GB2312" w:cs="仿宋_GB2312"/>
          <w:b/>
          <w:sz w:val="32"/>
          <w:szCs w:val="32"/>
          <w:lang w:val="zh-CN"/>
        </w:rPr>
      </w:pPr>
    </w:p>
    <w:p>
      <w:pPr>
        <w:pStyle w:val="8"/>
        <w:spacing w:line="360" w:lineRule="auto"/>
        <w:ind w:firstLine="3373" w:firstLineChars="1050"/>
        <w:rPr>
          <w:rFonts w:ascii="仿宋_GB2312" w:eastAsia="仿宋_GB2312" w:cs="仿宋_GB2312"/>
          <w:b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收费类对比图</w:t>
      </w:r>
    </w:p>
    <w:p>
      <w:pPr>
        <w:jc w:val="center"/>
      </w:pPr>
      <w:r>
        <w:drawing>
          <wp:inline distT="0" distB="0" distL="0" distR="0">
            <wp:extent cx="4248150" cy="1819910"/>
            <wp:effectExtent l="4445" t="4445" r="14605" b="23495"/>
            <wp:docPr id="14" name="图表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>
      <w:pPr>
        <w:pStyle w:val="8"/>
        <w:spacing w:line="360" w:lineRule="auto"/>
        <w:ind w:firstLine="3052" w:firstLineChars="950"/>
      </w:pPr>
      <w:r>
        <w:rPr>
          <w:rFonts w:hint="eastAsia" w:ascii="仿宋_GB2312" w:eastAsia="仿宋_GB2312" w:cs="仿宋_GB2312"/>
          <w:b/>
          <w:sz w:val="32"/>
          <w:szCs w:val="32"/>
        </w:rPr>
        <w:t>本季度</w:t>
      </w: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收费</w:t>
      </w:r>
      <w:r>
        <w:rPr>
          <w:rFonts w:hint="eastAsia" w:ascii="仿宋_GB2312" w:eastAsia="仿宋_GB2312" w:cs="仿宋_GB2312"/>
          <w:b/>
          <w:sz w:val="32"/>
          <w:szCs w:val="32"/>
        </w:rPr>
        <w:t>类</w:t>
      </w: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占比图</w:t>
      </w:r>
    </w:p>
    <w:p>
      <w:pPr>
        <w:jc w:val="center"/>
      </w:pPr>
      <w:r>
        <w:drawing>
          <wp:inline distT="0" distB="0" distL="0" distR="0">
            <wp:extent cx="3972560" cy="1962785"/>
            <wp:effectExtent l="4445" t="4445" r="23495" b="13970"/>
            <wp:docPr id="15" name="图表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>
      <w:pPr>
        <w:pStyle w:val="8"/>
        <w:spacing w:line="360" w:lineRule="auto"/>
        <w:ind w:firstLine="3180" w:firstLineChars="990"/>
        <w:rPr>
          <w:rFonts w:hint="eastAsia" w:ascii="仿宋_GB2312" w:eastAsia="仿宋_GB2312" w:cs="仿宋_GB2312"/>
          <w:b/>
          <w:sz w:val="32"/>
          <w:szCs w:val="32"/>
          <w:lang w:val="zh-CN"/>
        </w:rPr>
      </w:pPr>
    </w:p>
    <w:p>
      <w:pPr>
        <w:pStyle w:val="8"/>
        <w:spacing w:line="360" w:lineRule="auto"/>
        <w:ind w:firstLine="3180" w:firstLineChars="990"/>
      </w:pPr>
      <w:r>
        <w:rPr>
          <w:rFonts w:hint="eastAsia" w:ascii="仿宋_GB2312" w:eastAsia="仿宋_GB2312" w:cs="仿宋_GB2312"/>
          <w:b/>
          <w:sz w:val="32"/>
          <w:szCs w:val="32"/>
          <w:lang w:val="en-US" w:eastAsia="zh-CN"/>
        </w:rPr>
        <w:t>本季度</w:t>
      </w: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收费</w:t>
      </w:r>
      <w:r>
        <w:rPr>
          <w:rFonts w:hint="eastAsia" w:ascii="仿宋_GB2312" w:eastAsia="仿宋_GB2312" w:cs="仿宋_GB2312"/>
          <w:b/>
          <w:sz w:val="32"/>
          <w:szCs w:val="32"/>
        </w:rPr>
        <w:t>类</w:t>
      </w: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分项统计表</w:t>
      </w:r>
    </w:p>
    <w:tbl>
      <w:tblPr>
        <w:tblStyle w:val="9"/>
        <w:tblW w:w="918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1125"/>
        <w:gridCol w:w="1065"/>
        <w:gridCol w:w="1155"/>
        <w:gridCol w:w="1140"/>
        <w:gridCol w:w="1110"/>
        <w:gridCol w:w="1015"/>
        <w:gridCol w:w="1220"/>
        <w:gridCol w:w="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1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计量差错</w:t>
            </w:r>
          </w:p>
        </w:tc>
        <w:tc>
          <w:tcPr>
            <w:tcW w:w="10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账单争议</w:t>
            </w:r>
          </w:p>
        </w:tc>
        <w:tc>
          <w:tcPr>
            <w:tcW w:w="11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收费差错</w:t>
            </w:r>
          </w:p>
        </w:tc>
        <w:tc>
          <w:tcPr>
            <w:tcW w:w="11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不明扣费</w:t>
            </w:r>
          </w:p>
        </w:tc>
        <w:tc>
          <w:tcPr>
            <w:tcW w:w="11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充值争议</w:t>
            </w:r>
          </w:p>
        </w:tc>
        <w:tc>
          <w:tcPr>
            <w:tcW w:w="10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APP收费</w:t>
            </w:r>
          </w:p>
        </w:tc>
        <w:tc>
          <w:tcPr>
            <w:tcW w:w="12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收费其他</w:t>
            </w:r>
          </w:p>
        </w:tc>
        <w:tc>
          <w:tcPr>
            <w:tcW w:w="7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</w:tr>
    </w:tbl>
    <w:p>
      <w:pPr>
        <w:pStyle w:val="8"/>
        <w:spacing w:line="360" w:lineRule="auto"/>
        <w:ind w:firstLine="450" w:firstLineChars="140"/>
        <w:rPr>
          <w:rFonts w:ascii="仿宋_GB2312" w:eastAsia="仿宋_GB2312" w:cs="仿宋_GB2312"/>
          <w:b/>
          <w:sz w:val="32"/>
          <w:szCs w:val="32"/>
          <w:lang w:val="zh-CN"/>
        </w:rPr>
      </w:pPr>
    </w:p>
    <w:p>
      <w:pPr>
        <w:pStyle w:val="8"/>
        <w:spacing w:line="360" w:lineRule="auto"/>
        <w:ind w:firstLine="450" w:firstLineChars="140"/>
        <w:rPr>
          <w:rFonts w:ascii="仿宋_GB2312" w:eastAsia="仿宋_GB2312" w:cs="仿宋_GB2312"/>
          <w:b/>
          <w:bCs w:val="0"/>
          <w:color w:val="auto"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b/>
          <w:bCs w:val="0"/>
          <w:color w:val="auto"/>
          <w:sz w:val="32"/>
          <w:szCs w:val="32"/>
          <w:lang w:val="zh-CN"/>
        </w:rPr>
        <w:t>（六）安全类</w:t>
      </w:r>
    </w:p>
    <w:p>
      <w:pPr>
        <w:spacing w:line="360" w:lineRule="auto"/>
        <w:ind w:firstLine="640" w:firstLineChars="200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sz w:val="32"/>
          <w:szCs w:val="32"/>
          <w:lang w:val="zh-CN"/>
        </w:rPr>
        <w:t>本季度关于安全类问题申诉共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人次，占本季度总申诉量的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1.82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个百分点，与上季度</w:t>
      </w:r>
      <w:r>
        <w:rPr>
          <w:rFonts w:hint="eastAsia" w:ascii="仿宋_GB2312" w:eastAsia="仿宋_GB2312" w:cs="仿宋_GB2312"/>
          <w:sz w:val="32"/>
          <w:szCs w:val="32"/>
        </w:rPr>
        <w:t>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cs="仿宋_GB2312"/>
          <w:sz w:val="32"/>
          <w:szCs w:val="32"/>
        </w:rPr>
        <w:t>人次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上升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175个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百分点。其中，申诉电信公司的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人次，申诉移动公司的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人次，申诉联通公司的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人次。</w:t>
      </w:r>
    </w:p>
    <w:p>
      <w:pPr>
        <w:pStyle w:val="8"/>
        <w:spacing w:line="360" w:lineRule="auto"/>
        <w:ind w:firstLine="3180" w:firstLineChars="990"/>
        <w:rPr>
          <w:rFonts w:ascii="仿宋_GB2312" w:eastAsia="仿宋_GB2312" w:cs="仿宋_GB2312"/>
          <w:b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安全</w:t>
      </w:r>
      <w:r>
        <w:rPr>
          <w:rFonts w:hint="eastAsia" w:ascii="仿宋_GB2312" w:eastAsia="仿宋_GB2312" w:cs="仿宋_GB2312"/>
          <w:b/>
          <w:sz w:val="32"/>
          <w:szCs w:val="32"/>
        </w:rPr>
        <w:t>类</w:t>
      </w: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统计表</w:t>
      </w:r>
    </w:p>
    <w:tbl>
      <w:tblPr>
        <w:tblStyle w:val="9"/>
        <w:tblW w:w="7133" w:type="dxa"/>
        <w:tblInd w:w="7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1575"/>
        <w:gridCol w:w="1575"/>
        <w:gridCol w:w="1470"/>
        <w:gridCol w:w="16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8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5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2020年2季度</w:t>
            </w:r>
          </w:p>
        </w:tc>
        <w:tc>
          <w:tcPr>
            <w:tcW w:w="15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2020年1季度</w:t>
            </w:r>
          </w:p>
        </w:tc>
        <w:tc>
          <w:tcPr>
            <w:tcW w:w="14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本季度占比%</w:t>
            </w:r>
          </w:p>
        </w:tc>
        <w:tc>
          <w:tcPr>
            <w:tcW w:w="16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27.27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72.73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8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175.00</w:t>
            </w:r>
          </w:p>
        </w:tc>
      </w:tr>
    </w:tbl>
    <w:p>
      <w:pPr>
        <w:pStyle w:val="8"/>
        <w:spacing w:line="360" w:lineRule="auto"/>
        <w:ind w:firstLine="0" w:firstLineChars="0"/>
        <w:jc w:val="center"/>
        <w:rPr>
          <w:rFonts w:ascii="仿宋_GB2312" w:eastAsia="仿宋_GB2312" w:cs="仿宋_GB2312"/>
          <w:b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安全类对比图</w:t>
      </w:r>
    </w:p>
    <w:p>
      <w:pPr>
        <w:pStyle w:val="8"/>
        <w:spacing w:line="360" w:lineRule="auto"/>
        <w:ind w:firstLine="0" w:firstLineChars="0"/>
        <w:jc w:val="center"/>
        <w:rPr>
          <w:rFonts w:ascii="仿宋_GB2312" w:eastAsia="仿宋_GB2312"/>
          <w:b/>
        </w:rPr>
      </w:pPr>
      <w:r>
        <w:rPr>
          <w:rFonts w:ascii="仿宋_GB2312" w:eastAsia="仿宋_GB2312"/>
          <w:b/>
        </w:rPr>
        <w:drawing>
          <wp:inline distT="0" distB="0" distL="0" distR="0">
            <wp:extent cx="3792220" cy="1658620"/>
            <wp:effectExtent l="4445" t="4445" r="13335" b="13335"/>
            <wp:docPr id="16" name="图表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>
      <w:pPr>
        <w:pStyle w:val="8"/>
        <w:spacing w:line="360" w:lineRule="auto"/>
        <w:ind w:firstLine="3373" w:firstLineChars="1050"/>
      </w:pPr>
      <w:r>
        <w:rPr>
          <w:rFonts w:hint="eastAsia" w:ascii="仿宋_GB2312" w:eastAsia="仿宋_GB2312" w:cs="仿宋_GB2312"/>
          <w:b/>
          <w:sz w:val="32"/>
          <w:szCs w:val="32"/>
        </w:rPr>
        <w:t>本季度</w:t>
      </w: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安全类占比图</w:t>
      </w:r>
    </w:p>
    <w:p>
      <w:pPr>
        <w:jc w:val="center"/>
      </w:pPr>
      <w:r>
        <w:drawing>
          <wp:inline distT="0" distB="0" distL="0" distR="0">
            <wp:extent cx="3868420" cy="1962785"/>
            <wp:effectExtent l="4445" t="4445" r="13335" b="13970"/>
            <wp:docPr id="17" name="图表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>
      <w:pPr>
        <w:pStyle w:val="8"/>
        <w:spacing w:line="360" w:lineRule="auto"/>
        <w:ind w:firstLine="2891" w:firstLineChars="900"/>
        <w:rPr>
          <w:rFonts w:ascii="楷体_GB2312" w:eastAsia="楷体_GB2312" w:cs="仿宋_GB2312"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b/>
          <w:sz w:val="32"/>
          <w:szCs w:val="32"/>
          <w:lang w:val="en-US" w:eastAsia="zh-CN"/>
        </w:rPr>
        <w:t>本季度</w:t>
      </w: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安全</w:t>
      </w:r>
      <w:r>
        <w:rPr>
          <w:rFonts w:hint="eastAsia" w:ascii="仿宋_GB2312" w:eastAsia="仿宋_GB2312" w:cs="仿宋_GB2312"/>
          <w:b/>
          <w:sz w:val="32"/>
          <w:szCs w:val="32"/>
        </w:rPr>
        <w:t>类</w:t>
      </w: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分项统计表</w:t>
      </w:r>
    </w:p>
    <w:tbl>
      <w:tblPr>
        <w:tblStyle w:val="9"/>
        <w:tblW w:w="7480" w:type="dxa"/>
        <w:tblInd w:w="6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1"/>
        <w:gridCol w:w="1099"/>
        <w:gridCol w:w="1080"/>
        <w:gridCol w:w="940"/>
        <w:gridCol w:w="980"/>
        <w:gridCol w:w="130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</w:rPr>
            </w:pPr>
            <w:r>
              <w:rPr>
                <w:rFonts w:hint="eastAsia" w:ascii="宋体" w:hAnsi="宋体" w:cs="宋体"/>
                <w:color w:val="FF0000"/>
                <w:kern w:val="0"/>
              </w:rPr>
              <w:t>　</w:t>
            </w:r>
          </w:p>
        </w:tc>
        <w:tc>
          <w:tcPr>
            <w:tcW w:w="109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信息安全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网络安全</w:t>
            </w:r>
          </w:p>
        </w:tc>
        <w:tc>
          <w:tcPr>
            <w:tcW w:w="9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实名制</w:t>
            </w:r>
          </w:p>
        </w:tc>
        <w:tc>
          <w:tcPr>
            <w:tcW w:w="9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APP安全</w:t>
            </w:r>
          </w:p>
        </w:tc>
        <w:tc>
          <w:tcPr>
            <w:tcW w:w="13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安全其他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</w:tr>
    </w:tbl>
    <w:p>
      <w:pPr>
        <w:pStyle w:val="8"/>
        <w:spacing w:line="360" w:lineRule="auto"/>
        <w:ind w:firstLine="450" w:firstLineChars="140"/>
        <w:rPr>
          <w:rFonts w:ascii="仿宋_GB2312" w:eastAsia="仿宋_GB2312" w:cs="仿宋_GB2312"/>
          <w:b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（七）其他类</w:t>
      </w:r>
    </w:p>
    <w:p>
      <w:pPr>
        <w:pStyle w:val="8"/>
        <w:spacing w:line="360" w:lineRule="auto"/>
        <w:ind w:firstLine="3020" w:firstLineChars="940"/>
        <w:rPr>
          <w:rFonts w:ascii="仿宋_GB2312" w:eastAsia="仿宋_GB2312" w:cs="仿宋_GB2312"/>
          <w:b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其他类分</w:t>
      </w:r>
      <w:r>
        <w:rPr>
          <w:rFonts w:hint="eastAsia" w:ascii="仿宋_GB2312" w:eastAsia="仿宋_GB2312" w:cs="仿宋_GB2312"/>
          <w:b/>
          <w:sz w:val="32"/>
          <w:szCs w:val="32"/>
        </w:rPr>
        <w:t>项</w:t>
      </w: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统计表</w:t>
      </w:r>
    </w:p>
    <w:tbl>
      <w:tblPr>
        <w:tblStyle w:val="9"/>
        <w:tblW w:w="6400" w:type="dxa"/>
        <w:tblInd w:w="12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1040"/>
        <w:gridCol w:w="1346"/>
        <w:gridCol w:w="885"/>
        <w:gridCol w:w="1080"/>
        <w:gridCol w:w="9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0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0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撤诉信</w:t>
            </w:r>
          </w:p>
        </w:tc>
        <w:tc>
          <w:tcPr>
            <w:tcW w:w="134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非电信业务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表扬信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建议信</w:t>
            </w:r>
          </w:p>
        </w:tc>
        <w:tc>
          <w:tcPr>
            <w:tcW w:w="98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</w:rPr>
            </w:pPr>
            <w:r>
              <w:rPr>
                <w:rFonts w:asciiTheme="majorEastAsia" w:hAnsiTheme="majorEastAsia" w:eastAsiaTheme="majorEastAsia"/>
                <w:color w:val="000000"/>
              </w:rPr>
              <w:t>0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</w:rPr>
            </w:pPr>
            <w:r>
              <w:rPr>
                <w:rFonts w:asciiTheme="majorEastAsia" w:hAnsiTheme="majorEastAsia" w:eastAsiaTheme="majorEastAsia"/>
                <w:color w:val="000000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lang w:val="en-US" w:eastAsia="zh-CN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</w:rPr>
            </w:pPr>
            <w:r>
              <w:rPr>
                <w:rFonts w:asciiTheme="majorEastAsia" w:hAnsiTheme="majorEastAsia" w:eastAsiaTheme="majorEastAsia"/>
                <w:color w:val="000000"/>
              </w:rPr>
              <w:t>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</w:rPr>
            </w:pPr>
            <w:r>
              <w:rPr>
                <w:rFonts w:asciiTheme="majorEastAsia" w:hAnsiTheme="majorEastAsia" w:eastAsiaTheme="majorEastAsia"/>
                <w:color w:val="000000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</w:rPr>
            </w:pPr>
            <w:r>
              <w:rPr>
                <w:rFonts w:asciiTheme="majorEastAsia" w:hAnsiTheme="majorEastAsia" w:eastAsiaTheme="majorEastAsia"/>
                <w:color w:val="000000"/>
              </w:rPr>
              <w:t>0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</w:rPr>
            </w:pPr>
            <w:r>
              <w:rPr>
                <w:rFonts w:asciiTheme="majorEastAsia" w:hAnsiTheme="majorEastAsia" w:eastAsiaTheme="majorEastAsia"/>
                <w:color w:val="000000"/>
              </w:rPr>
              <w:t>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</w:rPr>
            </w:pPr>
            <w:r>
              <w:rPr>
                <w:rFonts w:asciiTheme="majorEastAsia" w:hAnsiTheme="majorEastAsia" w:eastAsiaTheme="majorEastAsia"/>
                <w:color w:val="000000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</w:rPr>
            </w:pPr>
            <w:r>
              <w:rPr>
                <w:rFonts w:asciiTheme="majorEastAsia" w:hAnsiTheme="majorEastAsia" w:eastAsiaTheme="majorEastAsia"/>
                <w:color w:val="000000"/>
              </w:rPr>
              <w:t>0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</w:rPr>
            </w:pPr>
            <w:r>
              <w:rPr>
                <w:rFonts w:asciiTheme="majorEastAsia" w:hAnsiTheme="majorEastAsia" w:eastAsiaTheme="majorEastAsia"/>
                <w:color w:val="000000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lang w:val="en-US" w:eastAsia="zh-CN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</w:rPr>
            </w:pPr>
            <w:r>
              <w:rPr>
                <w:rFonts w:asciiTheme="majorEastAsia" w:hAnsiTheme="majorEastAsia" w:eastAsiaTheme="majorEastAsia"/>
                <w:color w:val="000000"/>
              </w:rPr>
              <w:t>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</w:rPr>
            </w:pPr>
            <w:r>
              <w:rPr>
                <w:rFonts w:asciiTheme="majorEastAsia" w:hAnsiTheme="majorEastAsia" w:eastAsiaTheme="majorEastAsia"/>
                <w:color w:val="000000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其他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</w:rPr>
            </w:pPr>
            <w:r>
              <w:rPr>
                <w:rFonts w:asciiTheme="majorEastAsia" w:hAnsiTheme="majorEastAsia" w:eastAsiaTheme="majorEastAsia"/>
                <w:color w:val="000000"/>
              </w:rPr>
              <w:t>0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</w:rPr>
            </w:pPr>
            <w:r>
              <w:rPr>
                <w:rFonts w:asciiTheme="majorEastAsia" w:hAnsiTheme="majorEastAsia" w:eastAsiaTheme="majorEastAsia"/>
                <w:color w:val="000000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</w:rPr>
            </w:pPr>
            <w:r>
              <w:rPr>
                <w:rFonts w:asciiTheme="majorEastAsia" w:hAnsiTheme="majorEastAsia" w:eastAsiaTheme="majorEastAsia"/>
                <w:color w:val="00000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</w:rPr>
            </w:pPr>
            <w:r>
              <w:rPr>
                <w:rFonts w:asciiTheme="majorEastAsia" w:hAnsiTheme="majorEastAsia" w:eastAsiaTheme="majorEastAsia"/>
                <w:color w:val="000000"/>
              </w:rPr>
              <w:t>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</w:rPr>
            </w:pPr>
            <w:r>
              <w:rPr>
                <w:rFonts w:asciiTheme="majorEastAsia" w:hAnsiTheme="majorEastAsia" w:eastAsiaTheme="majorEastAsia"/>
                <w:color w:val="000000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</w:rPr>
            </w:pPr>
            <w:r>
              <w:rPr>
                <w:rFonts w:asciiTheme="majorEastAsia" w:hAnsiTheme="majorEastAsia" w:eastAsiaTheme="majorEastAsia"/>
                <w:color w:val="000000"/>
              </w:rPr>
              <w:t>0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</w:rPr>
            </w:pPr>
            <w:r>
              <w:rPr>
                <w:rFonts w:asciiTheme="majorEastAsia" w:hAnsiTheme="majorEastAsia" w:eastAsiaTheme="majorEastAsia"/>
                <w:color w:val="000000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</w:rPr>
            </w:pPr>
            <w:r>
              <w:rPr>
                <w:rFonts w:asciiTheme="majorEastAsia" w:hAnsiTheme="majorEastAsia" w:eastAsiaTheme="majorEastAsia"/>
                <w:color w:val="000000"/>
              </w:rPr>
              <w:t>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</w:rPr>
            </w:pPr>
            <w:r>
              <w:rPr>
                <w:rFonts w:asciiTheme="majorEastAsia" w:hAnsiTheme="majorEastAsia" w:eastAsiaTheme="majorEastAsia"/>
                <w:color w:val="000000"/>
              </w:rPr>
              <w:t>0</w:t>
            </w:r>
          </w:p>
        </w:tc>
      </w:tr>
    </w:tbl>
    <w:p>
      <w:pPr>
        <w:pStyle w:val="8"/>
        <w:spacing w:line="360" w:lineRule="auto"/>
        <w:ind w:firstLine="643" w:firstLineChars="200"/>
        <w:rPr>
          <w:rFonts w:hint="eastAsia" w:ascii="仿宋_GB2312" w:eastAsia="仿宋_GB2312" w:cs="仿宋_GB2312"/>
          <w:b/>
          <w:sz w:val="32"/>
          <w:szCs w:val="32"/>
          <w:lang w:val="zh-CN"/>
        </w:rPr>
      </w:pPr>
    </w:p>
    <w:p>
      <w:pPr>
        <w:pStyle w:val="8"/>
        <w:spacing w:line="360" w:lineRule="auto"/>
        <w:ind w:firstLine="643" w:firstLineChars="200"/>
        <w:rPr>
          <w:rFonts w:ascii="仿宋_GB2312" w:eastAsia="仿宋_GB2312"/>
          <w:b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五、电信用户申诉处理情况</w:t>
      </w:r>
    </w:p>
    <w:p>
      <w:pPr>
        <w:pStyle w:val="8"/>
        <w:spacing w:line="360" w:lineRule="auto"/>
        <w:ind w:firstLine="640" w:firstLineChars="200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本季度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我中心共受理申诉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606</w:t>
      </w:r>
      <w:r>
        <w:rPr>
          <w:rFonts w:hint="eastAsia" w:ascii="仿宋_GB2312" w:eastAsia="仿宋_GB2312" w:cs="仿宋_GB2312"/>
          <w:sz w:val="32"/>
          <w:szCs w:val="32"/>
        </w:rPr>
        <w:t>人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次。其中：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有效申诉61件，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需企业回复处理结果的转办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人次。需企业回复处理结果的量占总申诉量的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2.31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个百分点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，其中：电信公司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人次，移动公司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人次，联通公司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人次。另外协助上级部门办理信访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件。</w:t>
      </w:r>
      <w:r>
        <w:rPr>
          <w:rFonts w:hint="eastAsia" w:ascii="仿宋_GB2312" w:eastAsia="仿宋_GB2312" w:cs="仿宋_GB2312"/>
          <w:sz w:val="32"/>
          <w:szCs w:val="32"/>
        </w:rPr>
        <w:t>其中：电信公司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 w:cs="仿宋_GB2312"/>
          <w:sz w:val="32"/>
          <w:szCs w:val="32"/>
        </w:rPr>
        <w:t>件，移动公司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15</w:t>
      </w:r>
      <w:r>
        <w:rPr>
          <w:rFonts w:hint="eastAsia" w:ascii="仿宋_GB2312" w:eastAsia="仿宋_GB2312" w:cs="仿宋_GB2312"/>
          <w:sz w:val="32"/>
          <w:szCs w:val="32"/>
        </w:rPr>
        <w:t>件，联通公司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 w:cs="仿宋_GB2312"/>
          <w:sz w:val="32"/>
          <w:szCs w:val="32"/>
        </w:rPr>
        <w:t>件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。</w:t>
      </w:r>
    </w:p>
    <w:p>
      <w:pPr>
        <w:pStyle w:val="8"/>
        <w:spacing w:line="360" w:lineRule="auto"/>
        <w:ind w:firstLine="1928" w:firstLineChars="600"/>
        <w:rPr>
          <w:rFonts w:hint="eastAsia" w:ascii="仿宋_GB2312" w:eastAsia="仿宋_GB2312" w:cs="仿宋_GB2312"/>
          <w:b/>
          <w:sz w:val="32"/>
          <w:szCs w:val="32"/>
          <w:lang w:val="en-US" w:eastAsia="zh-CN"/>
        </w:rPr>
      </w:pPr>
    </w:p>
    <w:p>
      <w:pPr>
        <w:pStyle w:val="8"/>
        <w:spacing w:line="360" w:lineRule="auto"/>
        <w:ind w:firstLine="1928" w:firstLineChars="600"/>
        <w:rPr>
          <w:rFonts w:ascii="仿宋_GB2312" w:eastAsia="仿宋_GB2312" w:cs="仿宋_GB2312"/>
          <w:b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b/>
          <w:sz w:val="32"/>
          <w:szCs w:val="32"/>
          <w:lang w:val="en-US" w:eastAsia="zh-CN"/>
        </w:rPr>
        <w:t>本季度</w:t>
      </w: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各企业用户申诉分类统计表</w:t>
      </w:r>
    </w:p>
    <w:tbl>
      <w:tblPr>
        <w:tblStyle w:val="9"/>
        <w:tblW w:w="893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825"/>
        <w:gridCol w:w="750"/>
        <w:gridCol w:w="780"/>
        <w:gridCol w:w="840"/>
        <w:gridCol w:w="825"/>
        <w:gridCol w:w="765"/>
        <w:gridCol w:w="750"/>
        <w:gridCol w:w="750"/>
        <w:gridCol w:w="705"/>
        <w:gridCol w:w="630"/>
        <w:gridCol w:w="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47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资费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4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营销</w:t>
            </w:r>
          </w:p>
        </w:tc>
        <w:tc>
          <w:tcPr>
            <w:tcW w:w="78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网络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服务</w:t>
            </w:r>
          </w:p>
        </w:tc>
        <w:tc>
          <w:tcPr>
            <w:tcW w:w="825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收费</w:t>
            </w:r>
          </w:p>
        </w:tc>
        <w:tc>
          <w:tcPr>
            <w:tcW w:w="765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信息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其他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申诉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有效</w:t>
            </w:r>
          </w:p>
        </w:tc>
        <w:tc>
          <w:tcPr>
            <w:tcW w:w="63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转</w:t>
            </w:r>
          </w:p>
        </w:tc>
        <w:tc>
          <w:tcPr>
            <w:tcW w:w="57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争议</w:t>
            </w:r>
          </w:p>
        </w:tc>
        <w:tc>
          <w:tcPr>
            <w:tcW w:w="75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质量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质量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质量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争议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类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总量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申诉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办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电信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299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lang w:val="en-US" w:eastAsia="zh-CN"/>
              </w:rPr>
              <w:t>25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移动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lang w:val="en-US" w:eastAsia="zh-CN"/>
              </w:rPr>
              <w:t>29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联通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lang w:val="en-US" w:eastAsia="zh-CN"/>
              </w:rPr>
              <w:t>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lang w:val="en-US" w:eastAsia="zh-CN"/>
              </w:rPr>
              <w:t>61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宋体" w:asciiTheme="majorEastAsia" w:hAnsiTheme="majorEastAsia" w:eastAsiaTheme="majorEastAsia"/>
                <w:color w:val="auto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auto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占比%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14.69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11.55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47.03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16.83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</w:tr>
    </w:tbl>
    <w:p>
      <w:pPr>
        <w:pStyle w:val="8"/>
        <w:numPr>
          <w:ilvl w:val="0"/>
          <w:numId w:val="0"/>
        </w:numPr>
        <w:spacing w:line="360" w:lineRule="auto"/>
        <w:rPr>
          <w:rFonts w:hint="eastAsia" w:ascii="仿宋_GB2312" w:eastAsia="仿宋_GB2312" w:cs="仿宋_GB2312"/>
          <w:b/>
          <w:sz w:val="32"/>
          <w:szCs w:val="32"/>
        </w:rPr>
      </w:pPr>
    </w:p>
    <w:p>
      <w:pPr>
        <w:pStyle w:val="8"/>
        <w:numPr>
          <w:ilvl w:val="0"/>
          <w:numId w:val="0"/>
        </w:numPr>
        <w:spacing w:line="360" w:lineRule="auto"/>
        <w:ind w:firstLine="643" w:firstLineChars="200"/>
        <w:rPr>
          <w:rFonts w:hint="eastAsia" w:ascii="仿宋_GB2312" w:eastAsia="仿宋_GB2312" w:cs="仿宋_GB2312"/>
          <w:b/>
          <w:sz w:val="32"/>
          <w:szCs w:val="32"/>
          <w:lang w:val="en-US" w:eastAsia="zh-CN"/>
        </w:rPr>
      </w:pPr>
    </w:p>
    <w:p>
      <w:pPr>
        <w:pStyle w:val="8"/>
        <w:numPr>
          <w:ilvl w:val="0"/>
          <w:numId w:val="0"/>
        </w:numPr>
        <w:spacing w:line="360" w:lineRule="auto"/>
        <w:ind w:firstLine="643" w:firstLineChars="200"/>
        <w:rPr>
          <w:rFonts w:ascii="仿宋_GB2312" w:eastAsia="仿宋_GB2312" w:cs="仿宋_GB2312"/>
          <w:b/>
          <w:sz w:val="32"/>
          <w:szCs w:val="32"/>
        </w:rPr>
      </w:pPr>
      <w:r>
        <w:rPr>
          <w:rFonts w:hint="eastAsia" w:ascii="仿宋_GB2312" w:eastAsia="仿宋_GB2312" w:cs="仿宋_GB2312"/>
          <w:b/>
          <w:sz w:val="32"/>
          <w:szCs w:val="32"/>
          <w:lang w:val="en-US" w:eastAsia="zh-CN"/>
        </w:rPr>
        <w:t>六、</w:t>
      </w:r>
      <w:r>
        <w:rPr>
          <w:rFonts w:hint="eastAsia" w:ascii="仿宋_GB2312" w:eastAsia="仿宋_GB2312" w:cs="仿宋_GB2312"/>
          <w:b/>
          <w:sz w:val="32"/>
          <w:szCs w:val="32"/>
        </w:rPr>
        <w:t>百万用户申诉率</w:t>
      </w:r>
    </w:p>
    <w:p>
      <w:pPr>
        <w:pStyle w:val="8"/>
        <w:spacing w:line="360" w:lineRule="auto"/>
        <w:ind w:firstLine="3213" w:firstLineChars="1000"/>
        <w:rPr>
          <w:rFonts w:ascii="仿宋_GB2312" w:eastAsia="仿宋_GB2312" w:cs="仿宋_GB2312"/>
          <w:b/>
          <w:color w:val="C0504D" w:themeColor="accent2"/>
          <w:sz w:val="32"/>
          <w:szCs w:val="32"/>
          <w14:textFill>
            <w14:solidFill>
              <w14:schemeClr w14:val="accent2"/>
            </w14:solidFill>
          </w14:textFill>
        </w:rPr>
      </w:pPr>
      <w:r>
        <w:rPr>
          <w:rFonts w:hint="eastAsia" w:ascii="仿宋_GB2312" w:eastAsia="仿宋_GB2312" w:cs="仿宋_GB2312"/>
          <w:b/>
          <w:sz w:val="32"/>
          <w:szCs w:val="32"/>
        </w:rPr>
        <w:t>百万用户申诉率</w:t>
      </w:r>
    </w:p>
    <w:tbl>
      <w:tblPr>
        <w:tblStyle w:val="9"/>
        <w:tblW w:w="6690" w:type="dxa"/>
        <w:tblInd w:w="75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1547"/>
        <w:gridCol w:w="1633"/>
        <w:gridCol w:w="17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</w:trPr>
        <w:tc>
          <w:tcPr>
            <w:tcW w:w="1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电信</w:t>
            </w:r>
          </w:p>
        </w:tc>
        <w:tc>
          <w:tcPr>
            <w:tcW w:w="16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</w:t>
            </w:r>
          </w:p>
        </w:tc>
        <w:tc>
          <w:tcPr>
            <w:tcW w:w="17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2020年2季度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0.45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6.24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2020年1季度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4.42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4.27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增减比例%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宋体" w:asciiTheme="majorEastAsia" w:hAnsiTheme="majorEastAsia" w:eastAsiaTheme="majorEastAsia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163.43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46.14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43.30</w:t>
            </w:r>
          </w:p>
        </w:tc>
      </w:tr>
    </w:tbl>
    <w:p>
      <w:pPr>
        <w:pStyle w:val="8"/>
        <w:spacing w:line="360" w:lineRule="auto"/>
        <w:ind w:firstLine="630" w:firstLineChars="300"/>
        <w:rPr>
          <w:rFonts w:ascii="黑体" w:eastAsia="黑体" w:cs="仿宋_GB2312"/>
          <w:color w:val="C0504D" w:themeColor="accent2"/>
          <w14:textFill>
            <w14:solidFill>
              <w14:schemeClr w14:val="accent2"/>
            </w14:solidFill>
          </w14:textFill>
        </w:rPr>
      </w:pPr>
      <w:r>
        <w:rPr>
          <w:rFonts w:hint="eastAsia" w:ascii="黑体" w:eastAsia="黑体" w:cs="仿宋_GB2312"/>
        </w:rPr>
        <w:t>注：本统计只做省内统计分析，不做考核依据</w:t>
      </w:r>
    </w:p>
    <w:p>
      <w:pPr>
        <w:pStyle w:val="8"/>
        <w:spacing w:line="360" w:lineRule="auto"/>
        <w:ind w:firstLine="640" w:firstLineChars="200"/>
        <w:rPr>
          <w:rFonts w:ascii="黑体" w:eastAsia="黑体" w:cs="仿宋_GB2312"/>
          <w:sz w:val="32"/>
          <w:szCs w:val="32"/>
        </w:rPr>
      </w:pPr>
      <w:r>
        <w:rPr>
          <w:rFonts w:hint="eastAsia" w:ascii="黑体" w:eastAsia="黑体" w:cs="仿宋_GB2312"/>
          <w:sz w:val="32"/>
          <w:szCs w:val="32"/>
          <w:lang w:eastAsia="zh-CN"/>
        </w:rPr>
        <w:t>七</w:t>
      </w:r>
      <w:r>
        <w:rPr>
          <w:rFonts w:hint="eastAsia" w:ascii="黑体" w:eastAsia="黑体" w:cs="仿宋_GB2312"/>
          <w:sz w:val="32"/>
          <w:szCs w:val="32"/>
        </w:rPr>
        <w:t>、重点问题申诉</w:t>
      </w:r>
    </w:p>
    <w:p>
      <w:pPr>
        <w:pStyle w:val="17"/>
        <w:numPr>
          <w:ilvl w:val="0"/>
          <w:numId w:val="0"/>
        </w:numPr>
        <w:spacing w:line="360" w:lineRule="auto"/>
        <w:ind w:left="338" w:leftChars="0" w:firstLine="321" w:firstLineChars="1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en-US" w:eastAsia="zh-CN"/>
        </w:rPr>
        <w:t>(一）、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电信重点关注问题</w:t>
      </w:r>
    </w:p>
    <w:p>
      <w:pPr>
        <w:pStyle w:val="17"/>
        <w:spacing w:line="360" w:lineRule="auto"/>
        <w:ind w:left="161" w:leftChars="0" w:firstLine="643" w:firstLineChars="20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固网电话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方面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固话疑似骚扰或诈骗被关停；停机后继续扣费；固话故障维修不及时；固话欠费停机无提醒，固话无法注销。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br w:type="textWrapping"/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 xml:space="preserve">    </w:t>
      </w:r>
      <w:r>
        <w:rPr>
          <w:rFonts w:ascii="仿宋_GB2312" w:hAnsi="宋体" w:eastAsia="仿宋_GB2312" w:cs="宋体"/>
          <w:b/>
          <w:bCs/>
          <w:kern w:val="0"/>
          <w:sz w:val="32"/>
          <w:szCs w:val="32"/>
        </w:rPr>
        <w:t>固网宽带方面: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 宽带频繁故障；ITV增值业务扣费争议；宽带故障维修超时；宽带装机无资源；宽带无法办理停机销户。</w:t>
      </w:r>
    </w:p>
    <w:p>
      <w:pPr>
        <w:pStyle w:val="17"/>
        <w:spacing w:line="360" w:lineRule="auto"/>
        <w:ind w:left="161" w:leftChars="0" w:firstLine="643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b/>
          <w:bCs/>
          <w:kern w:val="0"/>
          <w:sz w:val="32"/>
          <w:szCs w:val="32"/>
        </w:rPr>
        <w:t>移动电话方面: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 手机疑似骚扰或诈骗被关停；流量使用争议；手机信号差；无法办理改资费业务。</w:t>
      </w:r>
    </w:p>
    <w:p>
      <w:pPr>
        <w:widowControl/>
        <w:numPr>
          <w:ilvl w:val="0"/>
          <w:numId w:val="0"/>
        </w:numPr>
        <w:ind w:firstLine="643" w:firstLineChars="200"/>
        <w:jc w:val="left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en-US" w:eastAsia="zh-CN"/>
        </w:rPr>
        <w:t>二）、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移动重点关注问题</w:t>
      </w:r>
    </w:p>
    <w:p>
      <w:pPr>
        <w:pStyle w:val="17"/>
        <w:spacing w:line="360" w:lineRule="auto"/>
        <w:ind w:left="0" w:leftChars="0" w:firstLine="790" w:firstLineChars="246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移动电话方面：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资费套餐无法通过线上方式办理；退费金额无法正常打印发票质疑；号码不知情绑定副号扣费；过户强制添加保底消费；优质号码保底消费无法降低或取消；号码无故被封停；异地销户无法正常办理；不知情开通增值业务或收费业务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；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</w:t>
      </w:r>
    </w:p>
    <w:p>
      <w:pPr>
        <w:pStyle w:val="3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上网流量方面：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流量使用争议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</w:t>
      </w:r>
    </w:p>
    <w:p>
      <w:pPr>
        <w:pStyle w:val="17"/>
        <w:numPr>
          <w:ilvl w:val="0"/>
          <w:numId w:val="0"/>
        </w:numPr>
        <w:spacing w:line="360" w:lineRule="auto"/>
        <w:ind w:firstLine="643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固网宽带问题：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宽带装、移、修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机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超时；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个别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小区宽带无覆盖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</w:t>
      </w:r>
    </w:p>
    <w:p>
      <w:pPr>
        <w:pStyle w:val="17"/>
        <w:spacing w:line="360" w:lineRule="auto"/>
        <w:ind w:left="48" w:leftChars="23" w:firstLine="643" w:firstLineChars="200"/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（三）联通关注的重点问题</w:t>
      </w:r>
    </w:p>
    <w:p>
      <w:pPr>
        <w:pStyle w:val="17"/>
        <w:numPr>
          <w:ilvl w:val="0"/>
          <w:numId w:val="0"/>
        </w:numPr>
        <w:spacing w:line="360" w:lineRule="auto"/>
        <w:ind w:firstLine="643" w:firstLineChars="200"/>
        <w:jc w:val="left"/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/>
          <w:bCs w:val="0"/>
          <w:kern w:val="0"/>
          <w:sz w:val="32"/>
          <w:szCs w:val="32"/>
        </w:rPr>
        <w:t>移动电话方面：</w:t>
      </w: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eastAsia="zh-CN"/>
        </w:rPr>
        <w:t>用户反映号码被动关停、短信功能被封停；流量计费争议，包括流量提醒不及时超出较多流量、超流量时无法及时停机产生大额扣费、用户表示未使用期间手机自动走流量、定向流量未定住、流量达封顶值后无法解封；网络无覆盖、弱覆盖，包括用户要求完善网络覆盖、因无网络或弱覆盖要求企业赔偿或无条件解除在网协议等；用户认为企业刻意设置障碍阻碍转网、符合携转条件的情况下收不到授权码造成无法顺利携出、携出后余额无法退还或对退还的方式不满意。</w:t>
      </w:r>
    </w:p>
    <w:p>
      <w:pPr>
        <w:pStyle w:val="17"/>
        <w:numPr>
          <w:ilvl w:val="0"/>
          <w:numId w:val="0"/>
        </w:numPr>
        <w:spacing w:line="360" w:lineRule="auto"/>
        <w:ind w:firstLine="643" w:firstLineChars="200"/>
        <w:jc w:val="left"/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/>
          <w:bCs w:val="0"/>
          <w:kern w:val="0"/>
          <w:sz w:val="32"/>
          <w:szCs w:val="32"/>
        </w:rPr>
        <w:t>固网宽带方面：</w:t>
      </w: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eastAsia="zh-CN"/>
        </w:rPr>
        <w:t>宽带装移修超时限。</w:t>
      </w:r>
    </w:p>
    <w:p>
      <w:pPr>
        <w:pStyle w:val="17"/>
        <w:spacing w:line="360" w:lineRule="auto"/>
        <w:ind w:left="418" w:leftChars="199" w:firstLine="217" w:firstLineChars="68"/>
        <w:rPr>
          <w:rFonts w:hint="eastAsia" w:ascii="黑体" w:eastAsia="黑体" w:cs="仿宋_GB2312"/>
          <w:sz w:val="32"/>
          <w:szCs w:val="32"/>
          <w:lang w:val="zh-CN"/>
        </w:rPr>
      </w:pPr>
    </w:p>
    <w:p>
      <w:pPr>
        <w:pStyle w:val="17"/>
        <w:spacing w:line="360" w:lineRule="auto"/>
        <w:ind w:left="418" w:leftChars="199" w:firstLine="217" w:firstLineChars="68"/>
        <w:rPr>
          <w:rFonts w:ascii="黑体" w:eastAsia="黑体" w:cs="仿宋_GB2312"/>
          <w:sz w:val="32"/>
          <w:szCs w:val="32"/>
          <w:lang w:val="zh-CN"/>
        </w:rPr>
      </w:pPr>
      <w:r>
        <w:rPr>
          <w:rFonts w:hint="eastAsia" w:ascii="黑体" w:eastAsia="黑体" w:cs="仿宋_GB2312"/>
          <w:sz w:val="32"/>
          <w:szCs w:val="32"/>
          <w:lang w:val="zh-CN"/>
        </w:rPr>
        <w:t>八、携号转网</w:t>
      </w:r>
    </w:p>
    <w:p>
      <w:pPr>
        <w:pStyle w:val="8"/>
        <w:spacing w:line="360" w:lineRule="auto"/>
        <w:ind w:firstLine="640" w:firstLineChars="200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sz w:val="32"/>
          <w:szCs w:val="32"/>
          <w:lang w:val="zh-CN"/>
        </w:rPr>
        <w:t>携号转网第二季度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湖北申诉中心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共受理</w:t>
      </w:r>
      <w:r>
        <w:rPr>
          <w:rFonts w:hint="eastAsia" w:ascii="仿宋_GB2312" w:eastAsia="仿宋_GB2312" w:cs="仿宋_GB2312"/>
          <w:sz w:val="32"/>
          <w:szCs w:val="32"/>
        </w:rPr>
        <w:t>申诉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27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人次，其中咨询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27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件，无转办。受理总量本季度与</w:t>
      </w:r>
      <w:r>
        <w:rPr>
          <w:rFonts w:hint="eastAsia" w:ascii="仿宋_GB2312" w:eastAsia="仿宋_GB2312" w:cs="仿宋_GB2312"/>
          <w:sz w:val="32"/>
          <w:szCs w:val="32"/>
        </w:rPr>
        <w:t>上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季度的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31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人次相比下降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12.90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个百分点。其中，电信公司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人次，移动公司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人次，联通公司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人次。</w:t>
      </w:r>
    </w:p>
    <w:p>
      <w:pPr>
        <w:pStyle w:val="8"/>
        <w:spacing w:line="360" w:lineRule="auto"/>
        <w:ind w:firstLine="2570" w:firstLineChars="800"/>
        <w:rPr>
          <w:rFonts w:ascii="仿宋_GB2312" w:eastAsia="仿宋_GB2312" w:cs="仿宋_GB2312"/>
          <w:b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b/>
          <w:sz w:val="32"/>
          <w:szCs w:val="32"/>
        </w:rPr>
        <w:t>本季度</w:t>
      </w: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携号转网申诉统计表</w:t>
      </w:r>
    </w:p>
    <w:tbl>
      <w:tblPr>
        <w:tblStyle w:val="9"/>
        <w:tblW w:w="878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720"/>
        <w:gridCol w:w="760"/>
        <w:gridCol w:w="640"/>
        <w:gridCol w:w="760"/>
        <w:gridCol w:w="760"/>
        <w:gridCol w:w="800"/>
        <w:gridCol w:w="820"/>
        <w:gridCol w:w="760"/>
        <w:gridCol w:w="880"/>
        <w:gridCol w:w="7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携出方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7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携入方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未知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未知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未知</w:t>
            </w:r>
          </w:p>
        </w:tc>
        <w:tc>
          <w:tcPr>
            <w:tcW w:w="7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咨询量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申诉量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</w:tr>
    </w:tbl>
    <w:p>
      <w:pPr>
        <w:spacing w:line="360" w:lineRule="auto"/>
        <w:ind w:firstLine="420" w:firstLineChars="200"/>
      </w:pPr>
      <w:r>
        <w:rPr>
          <w:rFonts w:hint="eastAsia"/>
        </w:rPr>
        <w:t>注：“未知”是用户未说明转向那个企业</w:t>
      </w:r>
    </w:p>
    <w:p>
      <w:pPr>
        <w:spacing w:line="360" w:lineRule="auto"/>
        <w:ind w:firstLine="2891" w:firstLineChars="900"/>
        <w:rPr>
          <w:rFonts w:hint="eastAsia" w:ascii="仿宋_GB2312" w:eastAsia="仿宋_GB2312" w:cs="仿宋_GB2312" w:hAnsiTheme="minorHAnsi"/>
          <w:b/>
          <w:sz w:val="32"/>
          <w:szCs w:val="32"/>
          <w:lang w:val="zh-CN"/>
        </w:rPr>
      </w:pPr>
    </w:p>
    <w:p>
      <w:pPr>
        <w:spacing w:line="360" w:lineRule="auto"/>
        <w:ind w:firstLine="2891" w:firstLineChars="900"/>
        <w:rPr>
          <w:rFonts w:ascii="仿宋_GB2312" w:eastAsia="仿宋_GB2312" w:cs="仿宋_GB2312" w:hAnsiTheme="minorHAnsi"/>
          <w:b/>
          <w:sz w:val="32"/>
          <w:szCs w:val="32"/>
          <w:lang w:val="zh-CN"/>
        </w:rPr>
      </w:pPr>
      <w:r>
        <w:rPr>
          <w:rFonts w:hint="eastAsia" w:ascii="仿宋_GB2312" w:eastAsia="仿宋_GB2312" w:cs="仿宋_GB2312" w:hAnsiTheme="minorHAnsi"/>
          <w:b/>
          <w:sz w:val="32"/>
          <w:szCs w:val="32"/>
          <w:lang w:val="zh-CN"/>
        </w:rPr>
        <w:t>携号转网</w:t>
      </w:r>
      <w:r>
        <w:rPr>
          <w:rFonts w:hint="eastAsia" w:ascii="仿宋_GB2312" w:eastAsia="仿宋_GB2312" w:cs="仿宋_GB2312" w:hAnsiTheme="minorHAnsi"/>
          <w:b/>
          <w:sz w:val="32"/>
          <w:szCs w:val="32"/>
        </w:rPr>
        <w:t>申诉</w:t>
      </w:r>
      <w:r>
        <w:rPr>
          <w:rFonts w:hint="eastAsia" w:ascii="仿宋_GB2312" w:eastAsia="仿宋_GB2312" w:cs="仿宋_GB2312" w:hAnsiTheme="minorHAnsi"/>
          <w:b/>
          <w:sz w:val="32"/>
          <w:szCs w:val="32"/>
          <w:lang w:val="zh-CN"/>
        </w:rPr>
        <w:t>对比</w:t>
      </w:r>
      <w:r>
        <w:rPr>
          <w:rFonts w:hint="eastAsia" w:ascii="仿宋_GB2312" w:eastAsia="仿宋_GB2312" w:cs="仿宋_GB2312" w:hAnsiTheme="minorHAnsi"/>
          <w:b/>
          <w:sz w:val="32"/>
          <w:szCs w:val="32"/>
        </w:rPr>
        <w:t>统计</w:t>
      </w:r>
      <w:r>
        <w:rPr>
          <w:rFonts w:hint="eastAsia" w:ascii="仿宋_GB2312" w:eastAsia="仿宋_GB2312" w:cs="仿宋_GB2312" w:hAnsiTheme="minorHAnsi"/>
          <w:b/>
          <w:sz w:val="32"/>
          <w:szCs w:val="32"/>
          <w:lang w:val="zh-CN"/>
        </w:rPr>
        <w:t>表</w:t>
      </w:r>
    </w:p>
    <w:tbl>
      <w:tblPr>
        <w:tblStyle w:val="9"/>
        <w:tblW w:w="7194" w:type="dxa"/>
        <w:tblInd w:w="10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1526"/>
        <w:gridCol w:w="1560"/>
        <w:gridCol w:w="1395"/>
        <w:gridCol w:w="17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5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2020年2季度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2020年1季度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本季度占比%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18.52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-37.50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66.67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-14.29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14.81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-12.90</w:t>
            </w:r>
          </w:p>
        </w:tc>
      </w:tr>
    </w:tbl>
    <w:p>
      <w:pPr>
        <w:pStyle w:val="8"/>
        <w:spacing w:line="360" w:lineRule="auto"/>
        <w:ind w:firstLine="643" w:firstLineChars="200"/>
        <w:rPr>
          <w:rFonts w:hint="eastAsia" w:ascii="仿宋_GB2312" w:eastAsia="仿宋_GB2312" w:cs="仿宋_GB2312"/>
          <w:b/>
          <w:sz w:val="32"/>
          <w:szCs w:val="32"/>
          <w:lang w:val="zh-CN"/>
        </w:rPr>
      </w:pPr>
    </w:p>
    <w:p>
      <w:pPr>
        <w:pStyle w:val="8"/>
        <w:spacing w:line="360" w:lineRule="auto"/>
        <w:ind w:firstLine="643" w:firstLineChars="200"/>
        <w:rPr>
          <w:rFonts w:ascii="仿宋_GB2312" w:eastAsia="仿宋_GB2312" w:cs="仿宋_GB2312"/>
          <w:b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b/>
          <w:sz w:val="32"/>
          <w:szCs w:val="32"/>
          <w:lang w:val="zh-CN"/>
        </w:rPr>
        <w:t>携号转网用户反映的主要问题如下：</w:t>
      </w:r>
    </w:p>
    <w:p>
      <w:pPr>
        <w:pStyle w:val="8"/>
        <w:spacing w:line="360" w:lineRule="auto"/>
        <w:ind w:firstLine="630" w:firstLineChars="197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ascii="仿宋_GB2312" w:eastAsia="仿宋_GB2312" w:cs="仿宋_GB2312"/>
          <w:sz w:val="32"/>
          <w:szCs w:val="32"/>
          <w:lang w:val="zh-CN"/>
        </w:rPr>
        <w:t>1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、</w:t>
      </w:r>
      <w:r>
        <w:rPr>
          <w:rFonts w:hint="eastAsia" w:ascii="仿宋_GB2312" w:hAnsi="宋体" w:eastAsia="仿宋_GB2312" w:cs="宋体"/>
          <w:bCs/>
          <w:sz w:val="32"/>
          <w:szCs w:val="32"/>
        </w:rPr>
        <w:t>企业增加携号转网限制条件，如</w:t>
      </w:r>
      <w:r>
        <w:rPr>
          <w:rFonts w:hint="eastAsia" w:ascii="仿宋_GB2312" w:hAnsi="宋体" w:eastAsia="仿宋_GB2312" w:cs="宋体"/>
          <w:bCs/>
          <w:sz w:val="32"/>
          <w:szCs w:val="32"/>
          <w:lang w:eastAsia="zh-CN"/>
        </w:rPr>
        <w:t>保底消费、合家欢活动等</w:t>
      </w:r>
      <w:r>
        <w:rPr>
          <w:rFonts w:hint="eastAsia" w:ascii="仿宋_GB2312" w:hAnsi="宋体" w:eastAsia="仿宋_GB2312" w:cs="宋体"/>
          <w:bCs/>
          <w:sz w:val="32"/>
          <w:szCs w:val="32"/>
        </w:rPr>
        <w:t>。</w:t>
      </w:r>
    </w:p>
    <w:p>
      <w:pPr>
        <w:pStyle w:val="8"/>
        <w:spacing w:line="360" w:lineRule="auto"/>
        <w:ind w:firstLine="640" w:firstLineChars="200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ascii="仿宋_GB2312" w:eastAsia="仿宋_GB2312" w:cs="仿宋_GB2312"/>
          <w:sz w:val="32"/>
          <w:szCs w:val="32"/>
          <w:lang w:val="zh-CN"/>
        </w:rPr>
        <w:t>2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、转网后费用无法正常退还；无法接收短信、主被叫无法正常接通</w:t>
      </w:r>
      <w:r>
        <w:rPr>
          <w:rFonts w:hint="eastAsia" w:ascii="仿宋_GB2312" w:eastAsia="仿宋_GB2312" w:cs="仿宋_GB2312"/>
          <w:sz w:val="32"/>
          <w:szCs w:val="32"/>
        </w:rPr>
        <w:t>电话；</w:t>
      </w:r>
    </w:p>
    <w:p>
      <w:pPr>
        <w:pStyle w:val="17"/>
        <w:spacing w:line="360" w:lineRule="auto"/>
        <w:ind w:left="23" w:leftChars="11" w:firstLine="640" w:firstLineChars="200"/>
        <w:rPr>
          <w:rFonts w:ascii="黑体" w:eastAsia="黑体" w:cs="仿宋_GB2312"/>
          <w:sz w:val="32"/>
          <w:szCs w:val="32"/>
          <w:lang w:val="zh-CN"/>
        </w:rPr>
      </w:pPr>
      <w:r>
        <w:rPr>
          <w:rFonts w:hint="eastAsia" w:ascii="黑体" w:eastAsia="黑体" w:cs="仿宋_GB2312"/>
          <w:sz w:val="32"/>
          <w:szCs w:val="32"/>
        </w:rPr>
        <w:t>八</w:t>
      </w:r>
      <w:r>
        <w:rPr>
          <w:rFonts w:hint="eastAsia" w:ascii="黑体" w:eastAsia="黑体" w:cs="仿宋_GB2312"/>
          <w:sz w:val="32"/>
          <w:szCs w:val="32"/>
          <w:lang w:val="zh-CN"/>
        </w:rPr>
        <w:t>、</w:t>
      </w:r>
      <w:r>
        <w:rPr>
          <w:rFonts w:hint="eastAsia" w:ascii="黑体" w:eastAsia="黑体" w:cs="仿宋_GB2312"/>
          <w:sz w:val="32"/>
          <w:szCs w:val="32"/>
        </w:rPr>
        <w:t>对</w:t>
      </w:r>
      <w:r>
        <w:rPr>
          <w:rFonts w:hint="eastAsia" w:ascii="黑体" w:eastAsia="黑体" w:cs="仿宋_GB2312"/>
          <w:sz w:val="32"/>
          <w:szCs w:val="32"/>
          <w:lang w:val="zh-CN"/>
        </w:rPr>
        <w:t>其他企业</w:t>
      </w:r>
      <w:r>
        <w:rPr>
          <w:rFonts w:hint="eastAsia" w:ascii="黑体" w:eastAsia="黑体" w:cs="仿宋_GB2312"/>
          <w:sz w:val="32"/>
          <w:szCs w:val="32"/>
        </w:rPr>
        <w:t>的申诉</w:t>
      </w:r>
    </w:p>
    <w:p>
      <w:pPr>
        <w:pStyle w:val="17"/>
        <w:spacing w:line="360" w:lineRule="auto"/>
        <w:ind w:left="23" w:leftChars="11"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本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季度我中心共受理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对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其他企业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的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zh-CN"/>
        </w:rPr>
        <w:t>申诉及咨询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建议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人次，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其中：</w:t>
      </w:r>
      <w:r>
        <w:rPr>
          <w:rFonts w:hint="eastAsia" w:ascii="仿宋_GB2312" w:eastAsia="仿宋_GB2312" w:cs="仿宋_GB2312"/>
          <w:sz w:val="32"/>
          <w:szCs w:val="32"/>
        </w:rPr>
        <w:t>广电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 w:cs="仿宋_GB2312"/>
          <w:sz w:val="32"/>
          <w:szCs w:val="32"/>
        </w:rPr>
        <w:t>人次，长宽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cs="仿宋_GB2312"/>
          <w:sz w:val="32"/>
          <w:szCs w:val="32"/>
        </w:rPr>
        <w:t>人次，其他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 w:cs="仿宋_GB2312"/>
          <w:sz w:val="32"/>
          <w:szCs w:val="32"/>
        </w:rPr>
        <w:t>人次。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需企业回复处理结果的转办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人次，</w:t>
      </w:r>
      <w:r>
        <w:rPr>
          <w:rFonts w:hint="eastAsia" w:ascii="仿宋_GB2312" w:eastAsia="仿宋_GB2312" w:cs="仿宋_GB2312"/>
          <w:sz w:val="32"/>
          <w:szCs w:val="32"/>
        </w:rPr>
        <w:t>其中：广电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 w:cs="仿宋_GB2312"/>
          <w:sz w:val="32"/>
          <w:szCs w:val="32"/>
        </w:rPr>
        <w:t>人次，长宽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cs="仿宋_GB2312"/>
          <w:sz w:val="32"/>
          <w:szCs w:val="32"/>
        </w:rPr>
        <w:t>人次，其他企业0人次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。</w:t>
      </w:r>
      <w:r>
        <w:rPr>
          <w:rFonts w:hint="eastAsia" w:ascii="仿宋_GB2312" w:eastAsia="仿宋_GB2312" w:cs="仿宋_GB2312"/>
          <w:sz w:val="32"/>
          <w:szCs w:val="32"/>
        </w:rPr>
        <w:t>本季度的申诉量与上季度的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 w:cs="仿宋_GB2312"/>
          <w:sz w:val="32"/>
          <w:szCs w:val="32"/>
        </w:rPr>
        <w:t>人次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下降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16.67</w:t>
      </w:r>
      <w:r>
        <w:rPr>
          <w:rFonts w:hint="eastAsia" w:ascii="仿宋_GB2312" w:eastAsia="仿宋_GB2312" w:cs="仿宋_GB2312"/>
          <w:sz w:val="32"/>
          <w:szCs w:val="32"/>
        </w:rPr>
        <w:t>个百分点。</w:t>
      </w:r>
    </w:p>
    <w:p>
      <w:pPr>
        <w:pStyle w:val="17"/>
        <w:spacing w:line="360" w:lineRule="auto"/>
        <w:ind w:left="0" w:leftChars="0" w:firstLine="0" w:firstLineChars="0"/>
        <w:jc w:val="center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eastAsia="仿宋_GB2312"/>
          <w:b/>
          <w:bCs/>
          <w:sz w:val="32"/>
        </w:rPr>
        <w:t>本季度其他企业申诉量统计表</w:t>
      </w:r>
    </w:p>
    <w:tbl>
      <w:tblPr>
        <w:tblStyle w:val="9"/>
        <w:tblW w:w="7261" w:type="dxa"/>
        <w:tblInd w:w="8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942"/>
        <w:gridCol w:w="899"/>
        <w:gridCol w:w="1395"/>
        <w:gridCol w:w="825"/>
        <w:gridCol w:w="795"/>
        <w:gridCol w:w="765"/>
        <w:gridCol w:w="7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服务类</w:t>
            </w: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资费类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 xml:space="preserve">通信质量类 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咨询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转办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信访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广电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长宽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其他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</w:tbl>
    <w:p>
      <w:pPr>
        <w:ind w:firstLine="2731" w:firstLineChars="850"/>
        <w:rPr>
          <w:rFonts w:ascii="仿宋_GB2312" w:eastAsia="仿宋_GB2312"/>
          <w:b/>
          <w:bCs/>
          <w:sz w:val="32"/>
        </w:rPr>
      </w:pPr>
      <w:r>
        <w:rPr>
          <w:rFonts w:hint="eastAsia" w:ascii="仿宋_GB2312" w:eastAsia="仿宋_GB2312"/>
          <w:b/>
          <w:bCs/>
          <w:sz w:val="32"/>
        </w:rPr>
        <w:t>其他企业申诉对比统计表</w:t>
      </w:r>
    </w:p>
    <w:tbl>
      <w:tblPr>
        <w:tblStyle w:val="9"/>
        <w:tblW w:w="7392" w:type="dxa"/>
        <w:tblInd w:w="82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1616"/>
        <w:gridCol w:w="1545"/>
        <w:gridCol w:w="1609"/>
        <w:gridCol w:w="16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2020年2季度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2020年1季度</w:t>
            </w:r>
          </w:p>
        </w:tc>
        <w:tc>
          <w:tcPr>
            <w:tcW w:w="16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本季度占比%</w:t>
            </w:r>
          </w:p>
        </w:tc>
        <w:tc>
          <w:tcPr>
            <w:tcW w:w="1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ajorEastAsia" w:hAnsiTheme="majorEastAsia" w:eastAsiaTheme="majorEastAsia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广电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60.00</w:t>
            </w:r>
          </w:p>
        </w:tc>
        <w:tc>
          <w:tcPr>
            <w:tcW w:w="1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长宽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40.00</w:t>
            </w:r>
          </w:p>
        </w:tc>
        <w:tc>
          <w:tcPr>
            <w:tcW w:w="1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-50.00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其他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-16.67</w:t>
            </w:r>
          </w:p>
        </w:tc>
      </w:tr>
    </w:tbl>
    <w:p>
      <w:pPr>
        <w:rPr>
          <w:rFonts w:hint="eastAsia" w:ascii="仿宋_GB2312" w:eastAsia="仿宋_GB2312"/>
          <w:sz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</w:rPr>
        <w:t>附件：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．各电信运营企业转办量对比表</w:t>
      </w:r>
    </w:p>
    <w:p>
      <w:pPr>
        <w:ind w:firstLine="960" w:firstLineChars="300"/>
        <w:rPr>
          <w:rFonts w:ascii="仿宋_GB2312" w:hAnsi="黑体" w:eastAsia="仿宋_GB2312"/>
          <w:sz w:val="32"/>
          <w:szCs w:val="32"/>
        </w:rPr>
      </w:pPr>
      <w:r>
        <w:rPr>
          <w:rFonts w:ascii="仿宋_GB2312" w:eastAsia="仿宋_GB2312"/>
          <w:sz w:val="32"/>
        </w:rPr>
        <w:t>2</w:t>
      </w:r>
      <w:r>
        <w:rPr>
          <w:rFonts w:hint="eastAsia" w:ascii="仿宋_GB2312" w:eastAsia="仿宋_GB2312"/>
          <w:sz w:val="32"/>
        </w:rPr>
        <w:t>．本</w:t>
      </w:r>
      <w:r>
        <w:rPr>
          <w:rFonts w:hint="eastAsia" w:ascii="仿宋_GB2312" w:eastAsia="仿宋_GB2312"/>
          <w:sz w:val="32"/>
          <w:szCs w:val="32"/>
        </w:rPr>
        <w:t>季度电信用户申诉所属地市统计表</w:t>
      </w:r>
    </w:p>
    <w:p>
      <w:pPr>
        <w:spacing w:line="360" w:lineRule="auto"/>
        <w:ind w:firstLine="4160" w:firstLineChars="1300"/>
        <w:rPr>
          <w:rFonts w:ascii="仿宋_GB2312" w:eastAsia="仿宋_GB2312"/>
          <w:sz w:val="32"/>
        </w:rPr>
      </w:pPr>
    </w:p>
    <w:p>
      <w:pPr>
        <w:spacing w:line="360" w:lineRule="auto"/>
        <w:ind w:firstLine="4160" w:firstLineChars="1300"/>
        <w:rPr>
          <w:rFonts w:hint="eastAsia" w:ascii="仿宋_GB2312" w:eastAsia="仿宋_GB2312"/>
          <w:sz w:val="32"/>
        </w:rPr>
      </w:pPr>
    </w:p>
    <w:p>
      <w:pPr>
        <w:spacing w:line="360" w:lineRule="auto"/>
        <w:ind w:firstLine="4160" w:firstLineChars="13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湖北省通信行业协会电信</w:t>
      </w:r>
    </w:p>
    <w:p>
      <w:pPr>
        <w:spacing w:line="360" w:lineRule="auto"/>
        <w:ind w:firstLine="4800" w:firstLineChars="15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用户申诉受理中心</w:t>
      </w:r>
    </w:p>
    <w:p>
      <w:pPr>
        <w:spacing w:line="360" w:lineRule="auto"/>
        <w:ind w:firstLine="4800" w:firstLineChars="1500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t>20</w:t>
      </w:r>
      <w:r>
        <w:rPr>
          <w:rFonts w:hint="eastAsia" w:ascii="仿宋_GB2312" w:eastAsia="仿宋_GB2312"/>
          <w:sz w:val="32"/>
          <w:lang w:val="en-US" w:eastAsia="zh-CN"/>
        </w:rPr>
        <w:t>20</w:t>
      </w:r>
      <w:r>
        <w:rPr>
          <w:rFonts w:hint="eastAsia" w:ascii="仿宋_GB2312" w:eastAsia="仿宋_GB2312"/>
          <w:sz w:val="32"/>
        </w:rPr>
        <w:t>年</w:t>
      </w:r>
      <w:r>
        <w:rPr>
          <w:rFonts w:hint="eastAsia" w:ascii="仿宋_GB2312" w:eastAsia="仿宋_GB2312"/>
          <w:sz w:val="32"/>
          <w:lang w:val="en-US" w:eastAsia="zh-CN"/>
        </w:rPr>
        <w:t>7</w:t>
      </w:r>
      <w:r>
        <w:rPr>
          <w:rFonts w:hint="eastAsia" w:ascii="仿宋_GB2312" w:eastAsia="仿宋_GB2312"/>
          <w:sz w:val="32"/>
        </w:rPr>
        <w:t>月</w:t>
      </w:r>
      <w:r>
        <w:rPr>
          <w:rFonts w:hint="eastAsia" w:ascii="仿宋_GB2312" w:eastAsia="仿宋_GB2312"/>
          <w:sz w:val="32"/>
          <w:lang w:val="en-US" w:eastAsia="zh-CN"/>
        </w:rPr>
        <w:t>6</w:t>
      </w:r>
      <w:r>
        <w:rPr>
          <w:rFonts w:hint="eastAsia" w:ascii="仿宋_GB2312" w:eastAsia="仿宋_GB2312"/>
          <w:sz w:val="32"/>
        </w:rPr>
        <w:t>日</w:t>
      </w:r>
    </w:p>
    <w:p>
      <w:pPr>
        <w:spacing w:line="360" w:lineRule="auto"/>
        <w:ind w:firstLine="140" w:firstLineChars="50"/>
        <w:rPr>
          <w:rFonts w:ascii="仿宋_GB2312" w:eastAsia="仿宋_GB2312"/>
          <w:sz w:val="28"/>
          <w:szCs w:val="28"/>
        </w:rPr>
      </w:pPr>
    </w:p>
    <w:p>
      <w:pPr>
        <w:spacing w:line="360" w:lineRule="auto"/>
        <w:ind w:firstLine="140" w:firstLineChars="50"/>
        <w:rPr>
          <w:rFonts w:ascii="仿宋_GB2312" w:eastAsia="仿宋_GB2312"/>
          <w:sz w:val="28"/>
          <w:szCs w:val="28"/>
        </w:rPr>
      </w:pPr>
    </w:p>
    <w:p>
      <w:pPr>
        <w:spacing w:line="360" w:lineRule="auto"/>
        <w:ind w:firstLine="140" w:firstLineChars="50"/>
        <w:rPr>
          <w:rFonts w:ascii="仿宋_GB2312" w:eastAsia="仿宋_GB2312"/>
          <w:sz w:val="28"/>
          <w:szCs w:val="28"/>
        </w:rPr>
      </w:pPr>
    </w:p>
    <w:p>
      <w:pPr>
        <w:spacing w:line="360" w:lineRule="auto"/>
        <w:ind w:firstLine="140" w:firstLineChars="50"/>
        <w:rPr>
          <w:rFonts w:ascii="仿宋_GB2312" w:eastAsia="仿宋_GB2312"/>
          <w:sz w:val="28"/>
          <w:szCs w:val="28"/>
        </w:rPr>
      </w:pPr>
    </w:p>
    <w:p>
      <w:pPr>
        <w:spacing w:line="360" w:lineRule="auto"/>
        <w:ind w:firstLine="140" w:firstLineChars="50"/>
        <w:rPr>
          <w:rFonts w:hint="eastAsia" w:ascii="仿宋_GB2312" w:eastAsia="仿宋_GB2312"/>
          <w:sz w:val="28"/>
          <w:szCs w:val="28"/>
        </w:rPr>
      </w:pPr>
    </w:p>
    <w:p>
      <w:pPr>
        <w:spacing w:line="360" w:lineRule="auto"/>
        <w:ind w:firstLine="140" w:firstLineChars="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发：部电信管理局、部电信用户申诉受理中心，湖北省通信管理局，</w:t>
      </w:r>
    </w:p>
    <w:p>
      <w:pPr>
        <w:spacing w:line="360" w:lineRule="auto"/>
        <w:ind w:firstLine="700" w:firstLineChars="2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湖北省通信行业协会。</w:t>
      </w:r>
    </w:p>
    <w:p>
      <w:pPr>
        <w:spacing w:line="360" w:lineRule="auto"/>
        <w:ind w:firstLine="140" w:firstLineChars="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送：中国电信股份有限公司湖北分公司、中国移动通信集团湖北有限</w:t>
      </w:r>
    </w:p>
    <w:p>
      <w:pPr>
        <w:spacing w:line="360" w:lineRule="auto"/>
        <w:ind w:firstLine="700" w:firstLineChars="2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公司、中国联合网络通信有限公司湖北省分公司、湖北省通信用户委员会、湖北省消费者委员会。</w:t>
      </w:r>
    </w:p>
    <w:p>
      <w:pPr>
        <w:spacing w:line="360" w:lineRule="auto"/>
        <w:ind w:firstLine="700" w:firstLineChars="250"/>
        <w:rPr>
          <w:rFonts w:ascii="仿宋_GB2312" w:eastAsia="仿宋_GB2312"/>
          <w:sz w:val="28"/>
          <w:szCs w:val="28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1531" w:right="1531" w:bottom="1090" w:left="1531" w:header="851" w:footer="992" w:gutter="0"/>
          <w:cols w:space="425" w:num="1"/>
          <w:docGrid w:type="lines" w:linePitch="312" w:charSpace="0"/>
        </w:sectPr>
      </w:pPr>
    </w:p>
    <w:p>
      <w:pPr>
        <w:rPr>
          <w:rFonts w:ascii="仿宋_GB2312" w:hAnsi="仿宋_GB2312" w:eastAsia="仿宋_GB2312" w:cs="仿宋_GB2312"/>
          <w:b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zh-CN"/>
        </w:rPr>
        <w:t>附件</w:t>
      </w:r>
      <w:r>
        <w:rPr>
          <w:rFonts w:ascii="仿宋_GB2312" w:hAnsi="仿宋_GB2312" w:eastAsia="仿宋_GB2312" w:cs="仿宋_GB2312"/>
          <w:b/>
          <w:kern w:val="0"/>
          <w:sz w:val="32"/>
          <w:szCs w:val="32"/>
          <w:lang w:val="zh-CN"/>
        </w:rPr>
        <w:t>1</w:t>
      </w:r>
    </w:p>
    <w:p>
      <w:pPr>
        <w:jc w:val="center"/>
        <w:rPr>
          <w:rFonts w:ascii="仿宋_GB2312" w:eastAsia="仿宋_GB2312"/>
          <w:color w:val="000000"/>
          <w:sz w:val="44"/>
          <w:szCs w:val="44"/>
        </w:rPr>
      </w:pPr>
    </w:p>
    <w:p>
      <w:pPr>
        <w:jc w:val="center"/>
        <w:rPr>
          <w:rFonts w:ascii="仿宋_GB2312" w:eastAsia="仿宋_GB2312"/>
          <w:color w:val="000000"/>
          <w:sz w:val="44"/>
          <w:szCs w:val="44"/>
        </w:rPr>
      </w:pPr>
    </w:p>
    <w:p>
      <w:pPr>
        <w:jc w:val="center"/>
        <w:rPr>
          <w:rFonts w:ascii="仿宋_GB2312" w:eastAsia="仿宋_GB2312"/>
          <w:color w:val="000000"/>
          <w:sz w:val="44"/>
          <w:szCs w:val="44"/>
        </w:rPr>
      </w:pPr>
      <w:r>
        <w:rPr>
          <w:rFonts w:hint="eastAsia" w:ascii="仿宋_GB2312" w:eastAsia="仿宋_GB2312"/>
          <w:color w:val="000000"/>
          <w:sz w:val="44"/>
          <w:szCs w:val="44"/>
        </w:rPr>
        <w:t>各电信运营企业转办量对比表</w:t>
      </w:r>
    </w:p>
    <w:tbl>
      <w:tblPr>
        <w:tblStyle w:val="9"/>
        <w:tblW w:w="11599" w:type="dxa"/>
        <w:tblInd w:w="11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2652"/>
        <w:gridCol w:w="2296"/>
        <w:gridCol w:w="1900"/>
        <w:gridCol w:w="28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26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2020年2季度</w:t>
            </w:r>
          </w:p>
        </w:tc>
        <w:tc>
          <w:tcPr>
            <w:tcW w:w="22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2020年1季度</w:t>
            </w:r>
          </w:p>
        </w:tc>
        <w:tc>
          <w:tcPr>
            <w:tcW w:w="19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本季度占比</w:t>
            </w:r>
          </w:p>
        </w:tc>
        <w:tc>
          <w:tcPr>
            <w:tcW w:w="281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环比增减比例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</w:t>
            </w:r>
          </w:p>
        </w:tc>
        <w:tc>
          <w:tcPr>
            <w:tcW w:w="2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28.57%</w:t>
            </w:r>
          </w:p>
        </w:tc>
        <w:tc>
          <w:tcPr>
            <w:tcW w:w="28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</w:t>
            </w:r>
          </w:p>
        </w:tc>
        <w:tc>
          <w:tcPr>
            <w:tcW w:w="2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42.86%</w:t>
            </w:r>
          </w:p>
        </w:tc>
        <w:tc>
          <w:tcPr>
            <w:tcW w:w="28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</w:t>
            </w:r>
          </w:p>
        </w:tc>
        <w:tc>
          <w:tcPr>
            <w:tcW w:w="2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28.57%</w:t>
            </w:r>
          </w:p>
        </w:tc>
        <w:tc>
          <w:tcPr>
            <w:tcW w:w="28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合计</w:t>
            </w:r>
          </w:p>
        </w:tc>
        <w:tc>
          <w:tcPr>
            <w:tcW w:w="2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28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180.00%</w:t>
            </w:r>
          </w:p>
        </w:tc>
      </w:tr>
    </w:tbl>
    <w:p>
      <w:pPr>
        <w:spacing w:line="360" w:lineRule="auto"/>
        <w:ind w:firstLine="420" w:firstLineChars="200"/>
      </w:pPr>
    </w:p>
    <w:p>
      <w:pPr>
        <w:spacing w:line="360" w:lineRule="auto"/>
        <w:ind w:firstLine="420" w:firstLineChars="200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rPr>
          <w:rFonts w:ascii="仿宋_GB2312" w:hAnsi="仿宋_GB2312" w:eastAsia="仿宋_GB2312" w:cs="仿宋_GB2312"/>
          <w:b/>
          <w:kern w:val="0"/>
          <w:sz w:val="32"/>
          <w:szCs w:val="32"/>
          <w:lang w:val="zh-CN"/>
        </w:rPr>
      </w:pPr>
    </w:p>
    <w:p>
      <w:pPr>
        <w:rPr>
          <w:rFonts w:ascii="仿宋_GB2312" w:hAnsi="仿宋_GB2312" w:eastAsia="仿宋_GB2312" w:cs="仿宋_GB2312"/>
          <w:b/>
          <w:color w:val="auto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zh-CN"/>
        </w:rPr>
        <w:t>附件</w:t>
      </w:r>
      <w:r>
        <w:rPr>
          <w:rFonts w:ascii="仿宋_GB2312" w:hAnsi="仿宋_GB2312" w:eastAsia="仿宋_GB2312" w:cs="仿宋_GB2312"/>
          <w:b/>
          <w:color w:val="auto"/>
          <w:kern w:val="0"/>
          <w:sz w:val="32"/>
          <w:szCs w:val="32"/>
          <w:lang w:val="zh-CN"/>
        </w:rPr>
        <w:t>2</w:t>
      </w:r>
    </w:p>
    <w:p>
      <w:pPr>
        <w:ind w:firstLine="3520" w:firstLineChars="8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eastAsia="仿宋_GB2312"/>
          <w:sz w:val="44"/>
          <w:szCs w:val="44"/>
        </w:rPr>
        <w:t>本季度电信用户申诉所属地市统计表</w:t>
      </w:r>
    </w:p>
    <w:tbl>
      <w:tblPr>
        <w:tblStyle w:val="9"/>
        <w:tblW w:w="11384" w:type="dxa"/>
        <w:tblInd w:w="13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  <w:gridCol w:w="1423"/>
        <w:gridCol w:w="14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8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电信湖北公司</w:t>
            </w:r>
          </w:p>
        </w:tc>
        <w:tc>
          <w:tcPr>
            <w:tcW w:w="28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移动湖北公司</w:t>
            </w:r>
          </w:p>
        </w:tc>
        <w:tc>
          <w:tcPr>
            <w:tcW w:w="28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联通湖北公司</w:t>
            </w:r>
          </w:p>
        </w:tc>
        <w:tc>
          <w:tcPr>
            <w:tcW w:w="28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分公司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申诉人次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分公司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申诉人次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分公司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申诉人次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公司名称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申诉人次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武汉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武汉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武汉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广电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黄石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黄石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黄石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长城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十堰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十堰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十堰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其他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宜昌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宜昌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宜昌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襄阳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襄阳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襄阳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鄂州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鄂州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鄂州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荆门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荆门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荆门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孝感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孝感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孝感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荆州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荆州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荆州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黄冈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黄冈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黄冈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咸宁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咸宁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咸宁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随州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随州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随州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恩施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恩施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恩施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江汉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江汉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江汉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外省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外省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外省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合计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299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合计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</w:rPr>
              <w:t>合计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default" w:cs="宋体" w:asciiTheme="majorEastAsia" w:hAnsiTheme="majorEastAsia" w:eastAsiaTheme="majorEastAsia"/>
                <w:color w:val="0000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lang w:val="en-US" w:eastAsia="zh-CN"/>
              </w:rPr>
              <w:t>10</w:t>
            </w:r>
          </w:p>
        </w:tc>
      </w:tr>
    </w:tbl>
    <w:p>
      <w:pPr>
        <w:spacing w:line="360" w:lineRule="auto"/>
      </w:pPr>
    </w:p>
    <w:sectPr>
      <w:headerReference r:id="rId7" w:type="default"/>
      <w:footerReference r:id="rId8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17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OqXm5zwAAAAUB&#10;AAAPAAAAAAAAAAEAIAAAACIAAABkcnMvZG93bnJldi54bWxQSwECFAAUAAAACACHTuJA4NO0l7IB&#10;AABaAwAADgAAAAAAAAABACAAAAAe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17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  <w:jc w:val="right"/>
      <w:rPr>
        <w:rFonts w:asci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10 -</w:t>
    </w:r>
    <w:r>
      <w:rPr>
        <w:rFonts w:ascii="宋体" w:hAnsi="宋体"/>
        <w:sz w:val="28"/>
        <w:szCs w:val="28"/>
      </w:rP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zql5uc8AAAAF&#10;AQAADwAAAAAAAAABACAAAAAiAAAAZHJzL2Rvd25yZXYueG1sUEsBAhQAFAAAAAgAh07iQEZKBwmz&#10;AQAAWgMAAA4AAAAAAAAAAQAgAAAAHgEAAGRycy9lMm9Eb2MueG1sUEsFBgAAAAAGAAYAWQEAAEMF&#10;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0561DA"/>
    <w:multiLevelType w:val="singleLevel"/>
    <w:tmpl w:val="9F0561D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58F"/>
    <w:rsid w:val="00005221"/>
    <w:rsid w:val="0001483B"/>
    <w:rsid w:val="0001517B"/>
    <w:rsid w:val="00020A56"/>
    <w:rsid w:val="00050F4E"/>
    <w:rsid w:val="000514F3"/>
    <w:rsid w:val="00065ED8"/>
    <w:rsid w:val="00066712"/>
    <w:rsid w:val="00070A61"/>
    <w:rsid w:val="00071146"/>
    <w:rsid w:val="00074238"/>
    <w:rsid w:val="00075CDA"/>
    <w:rsid w:val="00081CBF"/>
    <w:rsid w:val="00082641"/>
    <w:rsid w:val="000837B1"/>
    <w:rsid w:val="00086B84"/>
    <w:rsid w:val="00090343"/>
    <w:rsid w:val="000966A4"/>
    <w:rsid w:val="000A43D4"/>
    <w:rsid w:val="000C5583"/>
    <w:rsid w:val="000C79B5"/>
    <w:rsid w:val="000D359D"/>
    <w:rsid w:val="000D52AC"/>
    <w:rsid w:val="000E418D"/>
    <w:rsid w:val="000F16D9"/>
    <w:rsid w:val="000F6F35"/>
    <w:rsid w:val="0010180E"/>
    <w:rsid w:val="00104AE4"/>
    <w:rsid w:val="00105012"/>
    <w:rsid w:val="00125AF0"/>
    <w:rsid w:val="00126D48"/>
    <w:rsid w:val="0013351B"/>
    <w:rsid w:val="00133EAA"/>
    <w:rsid w:val="00135367"/>
    <w:rsid w:val="00144038"/>
    <w:rsid w:val="00174387"/>
    <w:rsid w:val="0017474A"/>
    <w:rsid w:val="00181E52"/>
    <w:rsid w:val="0018753A"/>
    <w:rsid w:val="00191ED8"/>
    <w:rsid w:val="00195303"/>
    <w:rsid w:val="00195C1F"/>
    <w:rsid w:val="001A4B61"/>
    <w:rsid w:val="001A6897"/>
    <w:rsid w:val="001D79C9"/>
    <w:rsid w:val="001E3C96"/>
    <w:rsid w:val="001E53BD"/>
    <w:rsid w:val="00236F3A"/>
    <w:rsid w:val="00240604"/>
    <w:rsid w:val="00246180"/>
    <w:rsid w:val="00264A2D"/>
    <w:rsid w:val="00272546"/>
    <w:rsid w:val="00297E96"/>
    <w:rsid w:val="002A07C8"/>
    <w:rsid w:val="002B07A5"/>
    <w:rsid w:val="002C3BD2"/>
    <w:rsid w:val="002C408C"/>
    <w:rsid w:val="002C50E3"/>
    <w:rsid w:val="002C691E"/>
    <w:rsid w:val="002D0BA1"/>
    <w:rsid w:val="002E45FC"/>
    <w:rsid w:val="002E5DEA"/>
    <w:rsid w:val="0031634C"/>
    <w:rsid w:val="003242AC"/>
    <w:rsid w:val="00327499"/>
    <w:rsid w:val="0033349D"/>
    <w:rsid w:val="0033587A"/>
    <w:rsid w:val="00387DE5"/>
    <w:rsid w:val="003A0F7B"/>
    <w:rsid w:val="003C43E5"/>
    <w:rsid w:val="003D32AF"/>
    <w:rsid w:val="003D4BBF"/>
    <w:rsid w:val="003E1D43"/>
    <w:rsid w:val="003E2396"/>
    <w:rsid w:val="003F2EF7"/>
    <w:rsid w:val="003F30F1"/>
    <w:rsid w:val="00405748"/>
    <w:rsid w:val="00406606"/>
    <w:rsid w:val="00407B46"/>
    <w:rsid w:val="00410E23"/>
    <w:rsid w:val="00423133"/>
    <w:rsid w:val="00426D50"/>
    <w:rsid w:val="0042741C"/>
    <w:rsid w:val="0043121F"/>
    <w:rsid w:val="00431C10"/>
    <w:rsid w:val="00433A5E"/>
    <w:rsid w:val="00434E56"/>
    <w:rsid w:val="004425E8"/>
    <w:rsid w:val="00443008"/>
    <w:rsid w:val="00444474"/>
    <w:rsid w:val="0044642E"/>
    <w:rsid w:val="0044766B"/>
    <w:rsid w:val="004648F3"/>
    <w:rsid w:val="00467A85"/>
    <w:rsid w:val="00484A62"/>
    <w:rsid w:val="004907C8"/>
    <w:rsid w:val="0049152F"/>
    <w:rsid w:val="00494797"/>
    <w:rsid w:val="004A10AE"/>
    <w:rsid w:val="004A4691"/>
    <w:rsid w:val="004B2800"/>
    <w:rsid w:val="004B3E4F"/>
    <w:rsid w:val="004C09A1"/>
    <w:rsid w:val="004C1CBF"/>
    <w:rsid w:val="004D36D4"/>
    <w:rsid w:val="004D4218"/>
    <w:rsid w:val="004F525C"/>
    <w:rsid w:val="00502A78"/>
    <w:rsid w:val="00507824"/>
    <w:rsid w:val="00514857"/>
    <w:rsid w:val="00522B75"/>
    <w:rsid w:val="00527266"/>
    <w:rsid w:val="00527285"/>
    <w:rsid w:val="00533A7D"/>
    <w:rsid w:val="005342E3"/>
    <w:rsid w:val="0056377C"/>
    <w:rsid w:val="00571F9F"/>
    <w:rsid w:val="00582EFA"/>
    <w:rsid w:val="00590B72"/>
    <w:rsid w:val="005926F4"/>
    <w:rsid w:val="005946A5"/>
    <w:rsid w:val="005953ED"/>
    <w:rsid w:val="005A53E6"/>
    <w:rsid w:val="005B48B1"/>
    <w:rsid w:val="005C0445"/>
    <w:rsid w:val="005C08FC"/>
    <w:rsid w:val="005D567B"/>
    <w:rsid w:val="005E2F5B"/>
    <w:rsid w:val="005F78C8"/>
    <w:rsid w:val="0061050C"/>
    <w:rsid w:val="00641E51"/>
    <w:rsid w:val="006502E8"/>
    <w:rsid w:val="00656714"/>
    <w:rsid w:val="00664A03"/>
    <w:rsid w:val="006714BD"/>
    <w:rsid w:val="0067613B"/>
    <w:rsid w:val="006805DA"/>
    <w:rsid w:val="00691504"/>
    <w:rsid w:val="006A1E85"/>
    <w:rsid w:val="006A5907"/>
    <w:rsid w:val="006D4C94"/>
    <w:rsid w:val="006D7CE1"/>
    <w:rsid w:val="007017F5"/>
    <w:rsid w:val="007020A1"/>
    <w:rsid w:val="00705520"/>
    <w:rsid w:val="0072284F"/>
    <w:rsid w:val="00764CE6"/>
    <w:rsid w:val="00767842"/>
    <w:rsid w:val="007729D8"/>
    <w:rsid w:val="0077373F"/>
    <w:rsid w:val="00781EDA"/>
    <w:rsid w:val="007935F5"/>
    <w:rsid w:val="00793EC5"/>
    <w:rsid w:val="007A378C"/>
    <w:rsid w:val="007A6A5D"/>
    <w:rsid w:val="007B560B"/>
    <w:rsid w:val="007C3300"/>
    <w:rsid w:val="007C37C5"/>
    <w:rsid w:val="007C5D16"/>
    <w:rsid w:val="007C6EED"/>
    <w:rsid w:val="007D5CB8"/>
    <w:rsid w:val="007E294D"/>
    <w:rsid w:val="007E4B7E"/>
    <w:rsid w:val="007F283F"/>
    <w:rsid w:val="007F2944"/>
    <w:rsid w:val="007F662C"/>
    <w:rsid w:val="008131D9"/>
    <w:rsid w:val="00820E51"/>
    <w:rsid w:val="008272F0"/>
    <w:rsid w:val="00834DBB"/>
    <w:rsid w:val="008417C8"/>
    <w:rsid w:val="00844DBA"/>
    <w:rsid w:val="00860D98"/>
    <w:rsid w:val="00867027"/>
    <w:rsid w:val="008716EA"/>
    <w:rsid w:val="00872529"/>
    <w:rsid w:val="0089025F"/>
    <w:rsid w:val="008907B9"/>
    <w:rsid w:val="00892CCD"/>
    <w:rsid w:val="008A79A3"/>
    <w:rsid w:val="008A7DB0"/>
    <w:rsid w:val="008E65A0"/>
    <w:rsid w:val="00907C68"/>
    <w:rsid w:val="0093680B"/>
    <w:rsid w:val="00947437"/>
    <w:rsid w:val="009616AB"/>
    <w:rsid w:val="00964055"/>
    <w:rsid w:val="00977DD5"/>
    <w:rsid w:val="009956B0"/>
    <w:rsid w:val="009A1965"/>
    <w:rsid w:val="009A33BE"/>
    <w:rsid w:val="009A64A7"/>
    <w:rsid w:val="009B6471"/>
    <w:rsid w:val="009B7701"/>
    <w:rsid w:val="009C13F3"/>
    <w:rsid w:val="009D0C6D"/>
    <w:rsid w:val="009F1C8F"/>
    <w:rsid w:val="00A06F03"/>
    <w:rsid w:val="00A07F4F"/>
    <w:rsid w:val="00A16A38"/>
    <w:rsid w:val="00A27CF9"/>
    <w:rsid w:val="00A441FA"/>
    <w:rsid w:val="00A55BC9"/>
    <w:rsid w:val="00A62A72"/>
    <w:rsid w:val="00A74E52"/>
    <w:rsid w:val="00A77B82"/>
    <w:rsid w:val="00A83498"/>
    <w:rsid w:val="00A879C0"/>
    <w:rsid w:val="00A925C4"/>
    <w:rsid w:val="00A926C0"/>
    <w:rsid w:val="00A93292"/>
    <w:rsid w:val="00A961A4"/>
    <w:rsid w:val="00AB1168"/>
    <w:rsid w:val="00AB2D1F"/>
    <w:rsid w:val="00AC37BB"/>
    <w:rsid w:val="00AC5E8D"/>
    <w:rsid w:val="00AC7F82"/>
    <w:rsid w:val="00AE2EF3"/>
    <w:rsid w:val="00AE56DA"/>
    <w:rsid w:val="00AF739F"/>
    <w:rsid w:val="00B076AF"/>
    <w:rsid w:val="00B127B6"/>
    <w:rsid w:val="00B329D2"/>
    <w:rsid w:val="00B3688C"/>
    <w:rsid w:val="00B467E8"/>
    <w:rsid w:val="00B504BF"/>
    <w:rsid w:val="00B62F55"/>
    <w:rsid w:val="00B8779D"/>
    <w:rsid w:val="00B93DEB"/>
    <w:rsid w:val="00BA284A"/>
    <w:rsid w:val="00BB5BCE"/>
    <w:rsid w:val="00BC15D4"/>
    <w:rsid w:val="00BD414B"/>
    <w:rsid w:val="00BF6C9E"/>
    <w:rsid w:val="00C10795"/>
    <w:rsid w:val="00C10920"/>
    <w:rsid w:val="00C1718B"/>
    <w:rsid w:val="00C26E6F"/>
    <w:rsid w:val="00C57BAD"/>
    <w:rsid w:val="00C703C2"/>
    <w:rsid w:val="00C75312"/>
    <w:rsid w:val="00C844AA"/>
    <w:rsid w:val="00C87582"/>
    <w:rsid w:val="00C93883"/>
    <w:rsid w:val="00CA1611"/>
    <w:rsid w:val="00CA18E9"/>
    <w:rsid w:val="00CA5EDF"/>
    <w:rsid w:val="00CA7759"/>
    <w:rsid w:val="00CC0F16"/>
    <w:rsid w:val="00CC757D"/>
    <w:rsid w:val="00CD63F8"/>
    <w:rsid w:val="00CE07FB"/>
    <w:rsid w:val="00CE1EDC"/>
    <w:rsid w:val="00CE30F2"/>
    <w:rsid w:val="00CF32A1"/>
    <w:rsid w:val="00CF7945"/>
    <w:rsid w:val="00D0462E"/>
    <w:rsid w:val="00D2151F"/>
    <w:rsid w:val="00D312C0"/>
    <w:rsid w:val="00D3333C"/>
    <w:rsid w:val="00D561CE"/>
    <w:rsid w:val="00D677DD"/>
    <w:rsid w:val="00D7104D"/>
    <w:rsid w:val="00D72249"/>
    <w:rsid w:val="00D74B38"/>
    <w:rsid w:val="00D74D11"/>
    <w:rsid w:val="00D85124"/>
    <w:rsid w:val="00D92C2B"/>
    <w:rsid w:val="00DA59D0"/>
    <w:rsid w:val="00DC3796"/>
    <w:rsid w:val="00DD005F"/>
    <w:rsid w:val="00DD46C9"/>
    <w:rsid w:val="00DD4E2F"/>
    <w:rsid w:val="00DD6FDF"/>
    <w:rsid w:val="00DE3183"/>
    <w:rsid w:val="00DE39A0"/>
    <w:rsid w:val="00E04409"/>
    <w:rsid w:val="00E0658F"/>
    <w:rsid w:val="00E241B0"/>
    <w:rsid w:val="00E31BBF"/>
    <w:rsid w:val="00E35964"/>
    <w:rsid w:val="00E417B0"/>
    <w:rsid w:val="00E52A17"/>
    <w:rsid w:val="00E5674F"/>
    <w:rsid w:val="00E60BED"/>
    <w:rsid w:val="00E95AB1"/>
    <w:rsid w:val="00EA22D6"/>
    <w:rsid w:val="00EC1930"/>
    <w:rsid w:val="00EC3796"/>
    <w:rsid w:val="00EC6454"/>
    <w:rsid w:val="00ED272C"/>
    <w:rsid w:val="00ED5C83"/>
    <w:rsid w:val="00EF7490"/>
    <w:rsid w:val="00F03EDA"/>
    <w:rsid w:val="00F14814"/>
    <w:rsid w:val="00F17FD5"/>
    <w:rsid w:val="00F35B44"/>
    <w:rsid w:val="00F36171"/>
    <w:rsid w:val="00F43605"/>
    <w:rsid w:val="00F470C5"/>
    <w:rsid w:val="00F53487"/>
    <w:rsid w:val="00F55260"/>
    <w:rsid w:val="00F60B90"/>
    <w:rsid w:val="00F84822"/>
    <w:rsid w:val="00F96388"/>
    <w:rsid w:val="00FA5E82"/>
    <w:rsid w:val="00FB4502"/>
    <w:rsid w:val="00FC060F"/>
    <w:rsid w:val="00FC265D"/>
    <w:rsid w:val="00FC4150"/>
    <w:rsid w:val="00FD4056"/>
    <w:rsid w:val="00FD41EE"/>
    <w:rsid w:val="00FF709E"/>
    <w:rsid w:val="0147282C"/>
    <w:rsid w:val="031964ED"/>
    <w:rsid w:val="04695084"/>
    <w:rsid w:val="048E1D08"/>
    <w:rsid w:val="05280C66"/>
    <w:rsid w:val="05A4144E"/>
    <w:rsid w:val="08FA52D8"/>
    <w:rsid w:val="098F4BF7"/>
    <w:rsid w:val="0B24417D"/>
    <w:rsid w:val="0D543707"/>
    <w:rsid w:val="0E1D0242"/>
    <w:rsid w:val="0FFE10FA"/>
    <w:rsid w:val="13403BD9"/>
    <w:rsid w:val="14151EE6"/>
    <w:rsid w:val="16E40C03"/>
    <w:rsid w:val="17E601DB"/>
    <w:rsid w:val="18663F39"/>
    <w:rsid w:val="1A5C3BB9"/>
    <w:rsid w:val="1C385645"/>
    <w:rsid w:val="1CF85A64"/>
    <w:rsid w:val="1D176C80"/>
    <w:rsid w:val="1DF91A64"/>
    <w:rsid w:val="1F356D8D"/>
    <w:rsid w:val="1F7E1FD1"/>
    <w:rsid w:val="22334C2F"/>
    <w:rsid w:val="23DE419E"/>
    <w:rsid w:val="2AFD059B"/>
    <w:rsid w:val="2E8B40D7"/>
    <w:rsid w:val="3328355C"/>
    <w:rsid w:val="337F4791"/>
    <w:rsid w:val="33A62795"/>
    <w:rsid w:val="342A3FD2"/>
    <w:rsid w:val="34C07049"/>
    <w:rsid w:val="382A35C2"/>
    <w:rsid w:val="38D170B4"/>
    <w:rsid w:val="3BB278C7"/>
    <w:rsid w:val="3EB7667E"/>
    <w:rsid w:val="3F834B08"/>
    <w:rsid w:val="400D7EC6"/>
    <w:rsid w:val="41934AB4"/>
    <w:rsid w:val="41970088"/>
    <w:rsid w:val="452E0700"/>
    <w:rsid w:val="464C303E"/>
    <w:rsid w:val="4B226799"/>
    <w:rsid w:val="4B6A6C48"/>
    <w:rsid w:val="4BAC1863"/>
    <w:rsid w:val="4FBE7768"/>
    <w:rsid w:val="50605524"/>
    <w:rsid w:val="5112283E"/>
    <w:rsid w:val="512A2C8B"/>
    <w:rsid w:val="516220DE"/>
    <w:rsid w:val="53765375"/>
    <w:rsid w:val="584159B5"/>
    <w:rsid w:val="58670461"/>
    <w:rsid w:val="58D7482E"/>
    <w:rsid w:val="5A932BCA"/>
    <w:rsid w:val="5C2F1387"/>
    <w:rsid w:val="5DAC6D61"/>
    <w:rsid w:val="5DAE1E89"/>
    <w:rsid w:val="5E6946C2"/>
    <w:rsid w:val="5F84059B"/>
    <w:rsid w:val="5FB057B7"/>
    <w:rsid w:val="604660D7"/>
    <w:rsid w:val="613B4878"/>
    <w:rsid w:val="66F40AA0"/>
    <w:rsid w:val="69823ABA"/>
    <w:rsid w:val="69FA7CC5"/>
    <w:rsid w:val="6BF51527"/>
    <w:rsid w:val="6C5042EC"/>
    <w:rsid w:val="6CB94131"/>
    <w:rsid w:val="6D1A2C26"/>
    <w:rsid w:val="6D3026D4"/>
    <w:rsid w:val="6FB03F71"/>
    <w:rsid w:val="7035591A"/>
    <w:rsid w:val="70CD18CC"/>
    <w:rsid w:val="72131133"/>
    <w:rsid w:val="72F22CA9"/>
    <w:rsid w:val="73221228"/>
    <w:rsid w:val="74561E1D"/>
    <w:rsid w:val="75F11B4A"/>
    <w:rsid w:val="75F73597"/>
    <w:rsid w:val="76710ADA"/>
    <w:rsid w:val="77AC1A82"/>
    <w:rsid w:val="784644D4"/>
    <w:rsid w:val="78AC73FF"/>
    <w:rsid w:val="79C06DBA"/>
    <w:rsid w:val="7D7F2BFE"/>
    <w:rsid w:val="7DDF001A"/>
    <w:rsid w:val="7E1C1D0B"/>
    <w:rsid w:val="7E5F29A9"/>
    <w:rsid w:val="7EE34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3"/>
    <w:unhideWhenUsed/>
    <w:qFormat/>
    <w:uiPriority w:val="99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6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7">
    <w:name w:val="Title"/>
    <w:basedOn w:val="1"/>
    <w:next w:val="1"/>
    <w:link w:val="15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8">
    <w:name w:val="Body Text First Indent"/>
    <w:basedOn w:val="1"/>
    <w:link w:val="14"/>
    <w:qFormat/>
    <w:uiPriority w:val="99"/>
    <w:pPr>
      <w:spacing w:after="120"/>
      <w:ind w:firstLine="420" w:firstLineChars="100"/>
    </w:pPr>
    <w:rPr>
      <w:rFonts w:asciiTheme="minorHAnsi" w:hAnsiTheme="minorHAnsi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正文首行缩进 Char"/>
    <w:basedOn w:val="11"/>
    <w:qFormat/>
    <w:locked/>
    <w:uiPriority w:val="99"/>
    <w:rPr>
      <w:rFonts w:eastAsia="宋体" w:cs="Times New Roman"/>
      <w:szCs w:val="21"/>
    </w:rPr>
  </w:style>
  <w:style w:type="character" w:customStyle="1" w:styleId="13">
    <w:name w:val="正文文本 Char"/>
    <w:basedOn w:val="11"/>
    <w:link w:val="2"/>
    <w:semiHidden/>
    <w:qFormat/>
    <w:uiPriority w:val="99"/>
    <w:rPr>
      <w:rFonts w:ascii="Times New Roman" w:hAnsi="Times New Roman" w:eastAsia="宋体" w:cs="Times New Roman"/>
      <w:szCs w:val="21"/>
    </w:rPr>
  </w:style>
  <w:style w:type="character" w:customStyle="1" w:styleId="14">
    <w:name w:val="正文首行缩进 Char1"/>
    <w:basedOn w:val="13"/>
    <w:link w:val="8"/>
    <w:semiHidden/>
    <w:qFormat/>
    <w:uiPriority w:val="99"/>
    <w:rPr>
      <w:rFonts w:ascii="Times New Roman" w:hAnsi="Times New Roman" w:eastAsia="宋体" w:cs="Times New Roman"/>
      <w:szCs w:val="21"/>
    </w:rPr>
  </w:style>
  <w:style w:type="character" w:customStyle="1" w:styleId="15">
    <w:name w:val="标题 Char"/>
    <w:basedOn w:val="11"/>
    <w:link w:val="7"/>
    <w:qFormat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6">
    <w:name w:val="批注框文本 Char"/>
    <w:basedOn w:val="11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7">
    <w:name w:val="列表 41"/>
    <w:basedOn w:val="1"/>
    <w:qFormat/>
    <w:uiPriority w:val="99"/>
    <w:pPr>
      <w:ind w:left="100" w:leftChars="200" w:hanging="200" w:hangingChars="200"/>
    </w:pPr>
  </w:style>
  <w:style w:type="character" w:customStyle="1" w:styleId="18">
    <w:name w:val="页脚 Char"/>
    <w:basedOn w:val="11"/>
    <w:link w:val="5"/>
    <w:qFormat/>
    <w:uiPriority w:val="99"/>
    <w:rPr>
      <w:rFonts w:ascii="Times New Roman" w:hAnsi="Times New Roman" w:eastAsia="宋体" w:cs="Times New Roman"/>
      <w:sz w:val="18"/>
      <w:szCs w:val="20"/>
    </w:rPr>
  </w:style>
  <w:style w:type="character" w:customStyle="1" w:styleId="19">
    <w:name w:val="页眉 Char"/>
    <w:basedOn w:val="11"/>
    <w:link w:val="6"/>
    <w:qFormat/>
    <w:uiPriority w:val="99"/>
    <w:rPr>
      <w:rFonts w:ascii="Times New Roman" w:hAnsi="Times New Roman" w:eastAsia="宋体" w:cs="Times New Roman"/>
      <w:sz w:val="18"/>
      <w:szCs w:val="20"/>
    </w:rPr>
  </w:style>
  <w:style w:type="paragraph" w:customStyle="1" w:styleId="20">
    <w:name w:val="列表 411"/>
    <w:basedOn w:val="1"/>
    <w:qFormat/>
    <w:uiPriority w:val="99"/>
    <w:pPr>
      <w:ind w:left="100" w:leftChars="200" w:hanging="200" w:hangingChars="200"/>
    </w:pPr>
  </w:style>
  <w:style w:type="character" w:customStyle="1" w:styleId="21">
    <w:name w:val="font11"/>
    <w:basedOn w:val="1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2">
    <w:name w:val="font21"/>
    <w:basedOn w:val="1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9" Type="http://schemas.openxmlformats.org/officeDocument/2006/relationships/fontTable" Target="fontTable.xml"/><Relationship Id="rId28" Type="http://schemas.openxmlformats.org/officeDocument/2006/relationships/customXml" Target="../customXml/item2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chart" Target="charts/chart16.xml"/><Relationship Id="rId24" Type="http://schemas.openxmlformats.org/officeDocument/2006/relationships/chart" Target="charts/chart15.xml"/><Relationship Id="rId23" Type="http://schemas.openxmlformats.org/officeDocument/2006/relationships/chart" Target="charts/chart14.xml"/><Relationship Id="rId22" Type="http://schemas.openxmlformats.org/officeDocument/2006/relationships/chart" Target="charts/chart13.xml"/><Relationship Id="rId21" Type="http://schemas.openxmlformats.org/officeDocument/2006/relationships/chart" Target="charts/chart12.xml"/><Relationship Id="rId20" Type="http://schemas.openxmlformats.org/officeDocument/2006/relationships/chart" Target="charts/chart11.xml"/><Relationship Id="rId2" Type="http://schemas.openxmlformats.org/officeDocument/2006/relationships/settings" Target="settings.xml"/><Relationship Id="rId19" Type="http://schemas.openxmlformats.org/officeDocument/2006/relationships/chart" Target="charts/chart10.xml"/><Relationship Id="rId18" Type="http://schemas.openxmlformats.org/officeDocument/2006/relationships/chart" Target="charts/chart9.xml"/><Relationship Id="rId17" Type="http://schemas.openxmlformats.org/officeDocument/2006/relationships/chart" Target="charts/chart8.xml"/><Relationship Id="rId16" Type="http://schemas.openxmlformats.org/officeDocument/2006/relationships/chart" Target="charts/chart7.xml"/><Relationship Id="rId15" Type="http://schemas.openxmlformats.org/officeDocument/2006/relationships/chart" Target="charts/chart6.xml"/><Relationship Id="rId14" Type="http://schemas.openxmlformats.org/officeDocument/2006/relationships/chart" Target="charts/chart5.xml"/><Relationship Id="rId13" Type="http://schemas.openxmlformats.org/officeDocument/2006/relationships/chart" Target="charts/chart4.xml"/><Relationship Id="rId12" Type="http://schemas.openxmlformats.org/officeDocument/2006/relationships/chart" Target="charts/chart3.xml"/><Relationship Id="rId11" Type="http://schemas.openxmlformats.org/officeDocument/2006/relationships/chart" Target="charts/chart2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13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1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11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10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9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8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7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2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3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6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4.xlsx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5.xlsx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14.xlsx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16.xlsx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15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2020年2季度</c:v>
                </c:pt>
              </c:strCache>
            </c:strRef>
          </c:tx>
          <c:invertIfNegative val="0"/>
          <c:dLbls>
            <c:dLbl>
              <c:idx val="1"/>
              <c:layout>
                <c:manualLayout>
                  <c:x val="-0.00816326530612242"/>
                  <c:y val="0.0052083333333334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0.0163265306122449"/>
                  <c:y val="0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0.0217687074829932"/>
                  <c:y val="0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0.0136054421768707"/>
                  <c:y val="0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Sheet1!$A$2:$A$8</c:f>
              <c:strCache>
                <c:ptCount val="7"/>
                <c:pt idx="0">
                  <c:v>资费</c:v>
                </c:pt>
                <c:pt idx="1">
                  <c:v>营销</c:v>
                </c:pt>
                <c:pt idx="2">
                  <c:v>网络</c:v>
                </c:pt>
                <c:pt idx="3">
                  <c:v>服务</c:v>
                </c:pt>
                <c:pt idx="4">
                  <c:v>收费</c:v>
                </c:pt>
                <c:pt idx="5">
                  <c:v>安全</c:v>
                </c:pt>
                <c:pt idx="6">
                  <c:v>其他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89</c:v>
                </c:pt>
                <c:pt idx="1">
                  <c:v>49</c:v>
                </c:pt>
                <c:pt idx="2">
                  <c:v>70</c:v>
                </c:pt>
                <c:pt idx="3">
                  <c:v>285</c:v>
                </c:pt>
                <c:pt idx="4">
                  <c:v>102</c:v>
                </c:pt>
                <c:pt idx="5">
                  <c:v>11</c:v>
                </c:pt>
                <c:pt idx="6">
                  <c:v>0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2020年1季度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0.00816326530612247"/>
                  <c:y val="0.015625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0.0163265306122449"/>
                  <c:y val="0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0.0244897959183674"/>
                  <c:y val="0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0.0217687074829932"/>
                  <c:y val="0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0.0136054421768707"/>
                  <c:y val="-9.5485008060153e-17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Sheet1!$A$2:$A$8</c:f>
              <c:strCache>
                <c:ptCount val="7"/>
                <c:pt idx="0">
                  <c:v>资费</c:v>
                </c:pt>
                <c:pt idx="1">
                  <c:v>营销</c:v>
                </c:pt>
                <c:pt idx="2">
                  <c:v>网络</c:v>
                </c:pt>
                <c:pt idx="3">
                  <c:v>服务</c:v>
                </c:pt>
                <c:pt idx="4">
                  <c:v>收费</c:v>
                </c:pt>
                <c:pt idx="5">
                  <c:v>安全</c:v>
                </c:pt>
                <c:pt idx="6">
                  <c:v>其他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  <c:pt idx="0">
                  <c:v>58</c:v>
                </c:pt>
                <c:pt idx="1">
                  <c:v>28</c:v>
                </c:pt>
                <c:pt idx="2">
                  <c:v>48</c:v>
                </c:pt>
                <c:pt idx="3">
                  <c:v>131</c:v>
                </c:pt>
                <c:pt idx="4">
                  <c:v>68</c:v>
                </c:pt>
                <c:pt idx="5">
                  <c:v>4</c:v>
                </c:pt>
                <c:pt idx="6">
                  <c:v>0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12691328"/>
        <c:axId val="12692864"/>
      </c:barChart>
      <c:catAx>
        <c:axId val="1269132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2692864"/>
        <c:crosses val="autoZero"/>
        <c:auto val="1"/>
        <c:lblAlgn val="ctr"/>
        <c:lblOffset val="100"/>
        <c:noMultiLvlLbl val="0"/>
      </c:catAx>
      <c:valAx>
        <c:axId val="12692864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2691328"/>
        <c:crosses val="autoZero"/>
        <c:crossBetween val="between"/>
      </c:valAx>
    </c:plotArea>
    <c:legend>
      <c:legendPos val="r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列1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Pt>
            <c:idx val="4"/>
            <c:bubble3D val="0"/>
          </c:dPt>
          <c:dPt>
            <c:idx val="5"/>
            <c:bubble3D val="0"/>
          </c:dPt>
          <c:dPt>
            <c:idx val="6"/>
            <c:bubble3D val="0"/>
          </c:dPt>
          <c:dPt>
            <c:idx val="7"/>
            <c:bubble3D val="0"/>
          </c:dPt>
          <c:dLbls>
            <c:dLbl>
              <c:idx val="0"/>
              <c:delete val="1"/>
            </c:dLbl>
            <c:dLbl>
              <c:idx val="1"/>
              <c:layout>
                <c:manualLayout>
                  <c:x val="0.11414901708715"/>
                  <c:y val="0.0417429765723729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0.12578627671541"/>
                  <c:y val="0.11883250704773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0.119206170657239"/>
                  <c:y val="0.194038106347818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0.0516640091310522"/>
                  <c:y val="-0.0841237414982571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-0.025830199796454"/>
                  <c:y val="0.125230387868183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7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Sheet1!$A$2:$A$9</c:f>
              <c:strCache>
                <c:ptCount val="8"/>
                <c:pt idx="1">
                  <c:v>资费套餐</c:v>
                </c:pt>
                <c:pt idx="2">
                  <c:v>营销质量</c:v>
                </c:pt>
                <c:pt idx="3">
                  <c:v>网络质量</c:v>
                </c:pt>
                <c:pt idx="4">
                  <c:v>服务质量</c:v>
                </c:pt>
                <c:pt idx="5">
                  <c:v>收费争议</c:v>
                </c:pt>
                <c:pt idx="6">
                  <c:v>信息安全</c:v>
                </c:pt>
                <c:pt idx="7">
                  <c:v>其他类</c:v>
                </c:pt>
              </c:strCache>
            </c:strRef>
          </c:cat>
          <c:val>
            <c:numRef>
              <c:f>Sheet1!$B$2:$B$9</c:f>
              <c:numCache>
                <c:formatCode>General</c:formatCode>
                <c:ptCount val="8"/>
                <c:pt idx="0">
                  <c:v>0</c:v>
                </c:pt>
                <c:pt idx="1">
                  <c:v>89</c:v>
                </c:pt>
                <c:pt idx="2">
                  <c:v>49</c:v>
                </c:pt>
                <c:pt idx="3">
                  <c:v>70</c:v>
                </c:pt>
                <c:pt idx="4">
                  <c:v>285</c:v>
                </c:pt>
                <c:pt idx="5">
                  <c:v>102</c:v>
                </c:pt>
                <c:pt idx="6">
                  <c:v>11</c:v>
                </c:pt>
                <c:pt idx="7">
                  <c:v>0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zero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2020年2季度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299</c:v>
                </c:pt>
                <c:pt idx="1">
                  <c:v>231</c:v>
                </c:pt>
                <c:pt idx="2">
                  <c:v>76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2020年1季度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126</c:v>
                </c:pt>
                <c:pt idx="1">
                  <c:v>158</c:v>
                </c:pt>
                <c:pt idx="2">
                  <c:v>53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122163200"/>
        <c:axId val="122164736"/>
      </c:barChart>
      <c:catAx>
        <c:axId val="122163200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22164736"/>
        <c:crosses val="autoZero"/>
        <c:auto val="1"/>
        <c:lblAlgn val="ctr"/>
        <c:lblOffset val="100"/>
        <c:noMultiLvlLbl val="0"/>
      </c:catAx>
      <c:valAx>
        <c:axId val="122164736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22163200"/>
        <c:crosses val="autoZero"/>
        <c:crossBetween val="between"/>
      </c:valAx>
    </c:plotArea>
    <c:legend>
      <c:legendPos val="r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列1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Lbls>
            <c:dLbl>
              <c:idx val="0"/>
              <c:delete val="1"/>
            </c:dLbl>
            <c:dLbl>
              <c:idx val="1"/>
              <c:layout>
                <c:manualLayout>
                  <c:x val="0.0262654261884493"/>
                  <c:y val="-0.0330900433111496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0.0778644739280416"/>
                  <c:y val="-0.0826320653580279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0.0717304254016165"/>
                  <c:y val="0.0483722971161121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Sheet1!$A$2:$A$5</c:f>
              <c:strCache>
                <c:ptCount val="4"/>
                <c:pt idx="1">
                  <c:v>电信</c:v>
                </c:pt>
                <c:pt idx="2">
                  <c:v>移动</c:v>
                </c:pt>
                <c:pt idx="3">
                  <c:v>联通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0</c:v>
                </c:pt>
                <c:pt idx="1">
                  <c:v>299</c:v>
                </c:pt>
                <c:pt idx="2">
                  <c:v>231</c:v>
                </c:pt>
                <c:pt idx="3">
                  <c:v>76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zero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2020年2季度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48</c:v>
                </c:pt>
                <c:pt idx="1">
                  <c:v>35</c:v>
                </c:pt>
                <c:pt idx="2">
                  <c:v>6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2020年1季度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20</c:v>
                </c:pt>
                <c:pt idx="1">
                  <c:v>31</c:v>
                </c:pt>
                <c:pt idx="2">
                  <c:v>7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125559168"/>
        <c:axId val="125561088"/>
      </c:barChart>
      <c:catAx>
        <c:axId val="125559168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25561088"/>
        <c:crosses val="autoZero"/>
        <c:auto val="1"/>
        <c:lblAlgn val="ctr"/>
        <c:lblOffset val="100"/>
        <c:noMultiLvlLbl val="0"/>
      </c:catAx>
      <c:valAx>
        <c:axId val="125561088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25559168"/>
        <c:crosses val="autoZero"/>
        <c:crossBetween val="between"/>
      </c:valAx>
    </c:plotArea>
    <c:legend>
      <c:legendPos val="r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2020年2季度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Lbls>
            <c:dLbl>
              <c:idx val="0"/>
              <c:layout>
                <c:manualLayout>
                  <c:x val="0.0375146701653866"/>
                  <c:y val="-0.0327796331960053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0625747439464804"/>
                  <c:y val="-0.212198686431802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0.102782733665636"/>
                  <c:y val="0.0299277605779154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Sheet1!$A$2:$A$5</c:f>
              <c:strCache>
                <c:ptCount val="4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48</c:v>
                </c:pt>
                <c:pt idx="1">
                  <c:v>35</c:v>
                </c:pt>
                <c:pt idx="2">
                  <c:v>6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zero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2020年2季度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12</c:v>
                </c:pt>
                <c:pt idx="1">
                  <c:v>26</c:v>
                </c:pt>
                <c:pt idx="2">
                  <c:v>11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2020年1季度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4</c:v>
                </c:pt>
                <c:pt idx="1">
                  <c:v>21</c:v>
                </c:pt>
                <c:pt idx="2">
                  <c:v>3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275193856"/>
        <c:axId val="275195392"/>
      </c:barChart>
      <c:catAx>
        <c:axId val="275193856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75195392"/>
        <c:crosses val="autoZero"/>
        <c:auto val="1"/>
        <c:lblAlgn val="ctr"/>
        <c:lblOffset val="100"/>
        <c:noMultiLvlLbl val="0"/>
      </c:catAx>
      <c:valAx>
        <c:axId val="275195392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75193856"/>
        <c:crosses val="autoZero"/>
        <c:crossBetween val="between"/>
      </c:valAx>
    </c:plotArea>
    <c:legend>
      <c:legendPos val="r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列1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Lbls>
            <c:dLbl>
              <c:idx val="0"/>
              <c:delete val="1"/>
            </c:dLbl>
            <c:dLbl>
              <c:idx val="1"/>
              <c:layout>
                <c:manualLayout>
                  <c:x val="0.0407824909798629"/>
                  <c:y val="-0.022374881158431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0.0615830915872359"/>
                  <c:y val="-0.23327510789143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0.0422736812967005"/>
                  <c:y val="-0.00704712220569955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Sheet1!$A$2:$A$5</c:f>
              <c:strCache>
                <c:ptCount val="4"/>
                <c:pt idx="1">
                  <c:v>电信</c:v>
                </c:pt>
                <c:pt idx="2">
                  <c:v>移动</c:v>
                </c:pt>
                <c:pt idx="3">
                  <c:v>联通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0</c:v>
                </c:pt>
                <c:pt idx="1">
                  <c:v>12</c:v>
                </c:pt>
                <c:pt idx="2">
                  <c:v>26</c:v>
                </c:pt>
                <c:pt idx="3">
                  <c:v>11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zero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2020年2季度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20</c:v>
                </c:pt>
                <c:pt idx="1">
                  <c:v>39</c:v>
                </c:pt>
                <c:pt idx="2">
                  <c:v>11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2020年1季度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8</c:v>
                </c:pt>
                <c:pt idx="1">
                  <c:v>31</c:v>
                </c:pt>
                <c:pt idx="2">
                  <c:v>9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列2</c:v>
                </c:pt>
              </c:strCache>
            </c:strRef>
          </c:tx>
          <c:invertIfNegative val="0"/>
          <c:dLbls>
            <c:delete val="1"/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Sheet1!$D$2:$D$4</c:f>
              <c:numCache>
                <c:formatCode>General</c:formatCode>
                <c:ptCount val="3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17964672"/>
        <c:axId val="317966592"/>
      </c:barChart>
      <c:catAx>
        <c:axId val="317964672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317966592"/>
        <c:crosses val="autoZero"/>
        <c:auto val="1"/>
        <c:lblAlgn val="ctr"/>
        <c:lblOffset val="100"/>
        <c:noMultiLvlLbl val="0"/>
      </c:catAx>
      <c:valAx>
        <c:axId val="317966592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317964672"/>
        <c:crosses val="autoZero"/>
        <c:crossBetween val="between"/>
      </c:valAx>
    </c:plotArea>
    <c:legend>
      <c:legendPos val="r"/>
      <c:legendEntry>
        <c:idx val="2"/>
        <c:delete val="1"/>
      </c:legendEntry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2020年2季度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Lbls>
            <c:dLbl>
              <c:idx val="0"/>
              <c:layout>
                <c:manualLayout>
                  <c:x val="-0.0135948697500268"/>
                  <c:y val="0.0628458077344206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0.123874136422602"/>
                  <c:y val="-0.160311517465673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0.11498529551276"/>
                  <c:y val="0.0872174029093822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Sheet1!$A$2:$A$5</c:f>
              <c:strCache>
                <c:ptCount val="4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20</c:v>
                </c:pt>
                <c:pt idx="1">
                  <c:v>39</c:v>
                </c:pt>
                <c:pt idx="2">
                  <c:v>11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zero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2020年2季度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164</c:v>
                </c:pt>
                <c:pt idx="1">
                  <c:v>83</c:v>
                </c:pt>
                <c:pt idx="2">
                  <c:v>38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2020年1季度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59</c:v>
                </c:pt>
                <c:pt idx="1">
                  <c:v>46</c:v>
                </c:pt>
                <c:pt idx="2">
                  <c:v>26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321204224"/>
        <c:axId val="321323008"/>
      </c:barChart>
      <c:catAx>
        <c:axId val="321204224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321323008"/>
        <c:crosses val="autoZero"/>
        <c:auto val="1"/>
        <c:lblAlgn val="ctr"/>
        <c:lblOffset val="100"/>
        <c:noMultiLvlLbl val="0"/>
      </c:catAx>
      <c:valAx>
        <c:axId val="321323008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321204224"/>
        <c:crosses val="autoZero"/>
        <c:crossBetween val="between"/>
      </c:valAx>
    </c:plotArea>
    <c:legend>
      <c:legendPos val="r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2020年2季度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Lbls>
            <c:dLbl>
              <c:idx val="0"/>
              <c:layout>
                <c:manualLayout>
                  <c:x val="0.0496096171821527"/>
                  <c:y val="-0.0147725961499395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0403761297952785"/>
                  <c:y val="-0.0561519805093408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0.0495552972805922"/>
                  <c:y val="0.02764242704956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164</c:v>
                </c:pt>
                <c:pt idx="1">
                  <c:v>83</c:v>
                </c:pt>
                <c:pt idx="2">
                  <c:v>38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zero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2020年2季度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52</c:v>
                </c:pt>
                <c:pt idx="1">
                  <c:v>40</c:v>
                </c:pt>
                <c:pt idx="2">
                  <c:v>10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2020年1季度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35</c:v>
                </c:pt>
                <c:pt idx="1">
                  <c:v>25</c:v>
                </c:pt>
                <c:pt idx="2">
                  <c:v>8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370380160"/>
        <c:axId val="370395776"/>
      </c:barChart>
      <c:catAx>
        <c:axId val="370380160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370395776"/>
        <c:crosses val="autoZero"/>
        <c:auto val="1"/>
        <c:lblAlgn val="ctr"/>
        <c:lblOffset val="100"/>
        <c:noMultiLvlLbl val="0"/>
      </c:catAx>
      <c:valAx>
        <c:axId val="370395776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370380160"/>
        <c:crosses val="autoZero"/>
        <c:crossBetween val="between"/>
      </c:valAx>
    </c:plotArea>
    <c:legend>
      <c:legendPos val="r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2020年2季度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Lbls>
            <c:dLbl>
              <c:idx val="0"/>
              <c:layout>
                <c:manualLayout>
                  <c:x val="0.101677322385984"/>
                  <c:y val="0.0885165354330715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106537900711129"/>
                  <c:y val="-0.0293473315835521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0.0840723241523537"/>
                  <c:y val="0.0457694026636763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Sheet1!$A$2:$A$5</c:f>
              <c:strCache>
                <c:ptCount val="4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52</c:v>
                </c:pt>
                <c:pt idx="1">
                  <c:v>40</c:v>
                </c:pt>
                <c:pt idx="2">
                  <c:v>10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zero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2020年2季度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3</c:v>
                </c:pt>
                <c:pt idx="1">
                  <c:v>8</c:v>
                </c:pt>
                <c:pt idx="2">
                  <c:v>0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2020年1季度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0</c:v>
                </c:pt>
                <c:pt idx="1">
                  <c:v>4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370838528"/>
        <c:axId val="370845568"/>
      </c:barChart>
      <c:catAx>
        <c:axId val="370838528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370845568"/>
        <c:crosses val="autoZero"/>
        <c:auto val="1"/>
        <c:lblAlgn val="ctr"/>
        <c:lblOffset val="100"/>
        <c:noMultiLvlLbl val="0"/>
      </c:catAx>
      <c:valAx>
        <c:axId val="370845568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370838528"/>
        <c:crosses val="autoZero"/>
        <c:crossBetween val="between"/>
      </c:valAx>
    </c:plotArea>
    <c:legend>
      <c:legendPos val="r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2020年2季度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Lbls>
            <c:dLbl>
              <c:idx val="0"/>
              <c:layout>
                <c:manualLayout>
                  <c:x val="0.190314133418812"/>
                  <c:y val="-0.0715831700076792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151899742013535"/>
                  <c:y val="0.110625909752547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0.107018110753227"/>
                  <c:y val="0.00456028149319766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电信</c:v>
                </c:pt>
                <c:pt idx="1">
                  <c:v>移动</c:v>
                </c:pt>
                <c:pt idx="2">
                  <c:v>联通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3</c:v>
                </c:pt>
                <c:pt idx="1">
                  <c:v>8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zero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08DF67-925B-411F-AB42-5A389C20456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19</Pages>
  <Words>875</Words>
  <Characters>4992</Characters>
  <Lines>41</Lines>
  <Paragraphs>11</Paragraphs>
  <TotalTime>820</TotalTime>
  <ScaleCrop>false</ScaleCrop>
  <LinksUpToDate>false</LinksUpToDate>
  <CharactersWithSpaces>5856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2017-04-05T06:01:00Z</dcterms:created>
  <dc:creator>微软中国</dc:creator>
  <cp:lastModifiedBy>lenovo</cp:lastModifiedBy>
  <cp:lastPrinted>2020-07-09T04:40:00Z</cp:lastPrinted>
  <dcterms:modified xsi:type="dcterms:W3CDTF">2020-07-18T08:13:46Z</dcterms:modified>
  <cp:revision>183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